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0"/>
        <w:rPr>
          <w:rFonts w:eastAsia="华文新魏"/>
          <w:b/>
          <w:spacing w:val="-70"/>
          <w:sz w:val="72"/>
          <w:szCs w:val="72"/>
        </w:rPr>
      </w:pPr>
      <w:bookmarkStart w:id="8" w:name="_GoBack"/>
      <w:bookmarkEnd w:id="8"/>
    </w:p>
    <w:p>
      <w:pPr>
        <w:ind w:firstLine="0" w:firstLineChars="0"/>
        <w:jc w:val="center"/>
        <w:rPr>
          <w:rFonts w:ascii="思源宋体 CN Light" w:hAnsi="思源宋体 CN Light" w:eastAsia="思源宋体 CN Light" w:cs="思源宋体 CN Light"/>
          <w:b/>
          <w:sz w:val="52"/>
          <w:szCs w:val="52"/>
        </w:rPr>
      </w:pPr>
    </w:p>
    <w:p>
      <w:pPr>
        <w:ind w:firstLine="0" w:firstLineChars="0"/>
        <w:jc w:val="center"/>
        <w:rPr>
          <w:rFonts w:ascii="思源宋体 CN Light" w:hAnsi="思源宋体 CN Light" w:eastAsia="思源宋体 CN Light" w:cs="思源宋体 CN Light"/>
          <w:b/>
          <w:sz w:val="52"/>
          <w:szCs w:val="52"/>
        </w:rPr>
      </w:pPr>
    </w:p>
    <w:p>
      <w:pPr>
        <w:ind w:firstLine="0" w:firstLineChars="0"/>
        <w:jc w:val="center"/>
        <w:rPr>
          <w:rFonts w:ascii="思源宋体 CN Light" w:hAnsi="思源宋体 CN Light" w:eastAsia="思源宋体 CN Light" w:cs="思源宋体 CN Light"/>
          <w:b/>
          <w:sz w:val="52"/>
          <w:szCs w:val="52"/>
        </w:rPr>
      </w:pPr>
      <w:r>
        <w:rPr>
          <w:rFonts w:ascii="思源宋体 CN Light" w:hAnsi="思源宋体 CN Light" w:eastAsia="思源宋体 CN Light" w:cs="思源宋体 CN Light"/>
          <w:b/>
          <w:sz w:val="52"/>
          <w:szCs w:val="52"/>
        </w:rPr>
        <w:t>辽宁省公共资源电子交易平台</w:t>
      </w:r>
    </w:p>
    <w:p>
      <w:pPr>
        <w:ind w:firstLine="0" w:firstLineChars="0"/>
        <w:jc w:val="center"/>
        <w:rPr>
          <w:rFonts w:ascii="思源宋体 CN Light" w:hAnsi="思源宋体 CN Light" w:eastAsia="思源宋体 CN Light" w:cs="思源宋体 CN Light"/>
          <w:b/>
          <w:sz w:val="52"/>
          <w:szCs w:val="52"/>
        </w:rPr>
      </w:pPr>
      <w:r>
        <w:rPr>
          <w:rFonts w:hint="eastAsia" w:ascii="思源宋体 CN Light" w:hAnsi="思源宋体 CN Light" w:eastAsia="思源宋体 CN Light" w:cs="思源宋体 CN Light"/>
          <w:b/>
          <w:sz w:val="48"/>
          <w:szCs w:val="48"/>
        </w:rPr>
        <w:t>房屋建筑（市政公用）工程建设项目</w:t>
      </w:r>
    </w:p>
    <w:p>
      <w:pPr>
        <w:ind w:firstLine="0" w:firstLineChars="0"/>
        <w:jc w:val="center"/>
        <w:rPr>
          <w:rFonts w:ascii="思源宋体 CN Light" w:hAnsi="思源宋体 CN Light" w:eastAsia="思源宋体 CN Light" w:cs="思源宋体 CN Light"/>
          <w:b/>
          <w:sz w:val="52"/>
          <w:szCs w:val="52"/>
        </w:rPr>
      </w:pPr>
      <w:r>
        <w:rPr>
          <w:rFonts w:hint="eastAsia" w:ascii="思源宋体 CN Light" w:hAnsi="思源宋体 CN Light" w:eastAsia="思源宋体 CN Light" w:cs="思源宋体 CN Light"/>
          <w:b/>
          <w:sz w:val="52"/>
          <w:szCs w:val="52"/>
        </w:rPr>
        <w:t>招标代理操作指南</w:t>
      </w: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0" w:firstLineChars="0"/>
        <w:jc w:val="center"/>
        <w:rPr>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54" w:footer="680" w:gutter="0"/>
          <w:pgNumType w:start="0"/>
          <w:cols w:space="720" w:num="1"/>
          <w:titlePg/>
          <w:docGrid w:type="lines" w:linePitch="312" w:charSpace="0"/>
        </w:sectPr>
      </w:pPr>
      <w:r>
        <w:rPr>
          <w:sz w:val="32"/>
          <w:szCs w:val="32"/>
        </w:rPr>
        <w:t>辽宁省公共资源交易中心</w:t>
      </w:r>
    </w:p>
    <w:p>
      <w:pPr>
        <w:pStyle w:val="2"/>
        <w:ind w:firstLine="0" w:firstLineChars="0"/>
        <w:jc w:val="center"/>
      </w:pPr>
      <w:r>
        <w:tab/>
      </w:r>
    </w:p>
    <w:p>
      <w:pPr>
        <w:tabs>
          <w:tab w:val="left" w:pos="3675"/>
        </w:tabs>
        <w:rPr>
          <w:b/>
          <w:spacing w:val="200"/>
          <w:sz w:val="32"/>
        </w:rPr>
      </w:pPr>
      <w:r>
        <w:tab/>
      </w:r>
      <w:r>
        <w:rPr>
          <w:rFonts w:hint="eastAsia"/>
          <w:b/>
          <w:spacing w:val="200"/>
          <w:sz w:val="32"/>
        </w:rPr>
        <w:t>目录</w:t>
      </w:r>
    </w:p>
    <w:p>
      <w:pPr>
        <w:pStyle w:val="29"/>
        <w:tabs>
          <w:tab w:val="right" w:leader="dot" w:pos="8302"/>
        </w:tabs>
        <w:rPr>
          <w:rFonts w:asciiTheme="minorHAnsi" w:hAnsiTheme="minorHAnsi" w:eastAsiaTheme="minorEastAsia" w:cstheme="minorBidi"/>
          <w:bCs w:val="0"/>
          <w:caps w:val="0"/>
          <w:szCs w:val="22"/>
        </w:rPr>
      </w:pPr>
      <w:r>
        <w:rPr>
          <w:rFonts w:ascii="Calibri" w:hAnsi="Calibri"/>
          <w:bCs w:val="0"/>
          <w:caps w:val="0"/>
        </w:rPr>
        <w:fldChar w:fldCharType="begin"/>
      </w:r>
      <w:r>
        <w:rPr>
          <w:rFonts w:ascii="Calibri" w:hAnsi="Calibri"/>
        </w:rPr>
        <w:instrText xml:space="preserve"> TOC \o "4-5" \h \z \t "标题 1,1,标题 2,2,标题 3,3"</w:instrText>
      </w:r>
      <w:r>
        <w:rPr>
          <w:rFonts w:ascii="Calibri" w:hAnsi="Calibri"/>
          <w:bCs w:val="0"/>
          <w:caps w:val="0"/>
        </w:rPr>
        <w:fldChar w:fldCharType="separate"/>
      </w:r>
      <w:r>
        <w:fldChar w:fldCharType="begin"/>
      </w:r>
      <w:r>
        <w:instrText xml:space="preserve"> HYPERLINK \l "_Toc60235255" </w:instrText>
      </w:r>
      <w:r>
        <w:fldChar w:fldCharType="separate"/>
      </w:r>
      <w:r>
        <w:rPr>
          <w:rStyle w:val="51"/>
          <w:rFonts w:hint="eastAsia"/>
        </w:rPr>
        <w:t>一、选定省平台交易</w:t>
      </w:r>
      <w:r>
        <w:tab/>
      </w:r>
      <w:r>
        <w:fldChar w:fldCharType="begin"/>
      </w:r>
      <w:r>
        <w:instrText xml:space="preserve"> PAGEREF _Toc60235255 \h </w:instrText>
      </w:r>
      <w:r>
        <w:fldChar w:fldCharType="separate"/>
      </w:r>
      <w:r>
        <w:t>1</w:t>
      </w:r>
      <w:r>
        <w:fldChar w:fldCharType="end"/>
      </w:r>
      <w:r>
        <w:fldChar w:fldCharType="end"/>
      </w:r>
    </w:p>
    <w:p>
      <w:pPr>
        <w:pStyle w:val="29"/>
        <w:tabs>
          <w:tab w:val="right" w:leader="dot" w:pos="8302"/>
        </w:tabs>
        <w:rPr>
          <w:rFonts w:asciiTheme="minorHAnsi" w:hAnsiTheme="minorHAnsi" w:eastAsiaTheme="minorEastAsia" w:cstheme="minorBidi"/>
          <w:bCs w:val="0"/>
          <w:caps w:val="0"/>
          <w:szCs w:val="22"/>
        </w:rPr>
      </w:pPr>
      <w:r>
        <w:fldChar w:fldCharType="begin"/>
      </w:r>
      <w:r>
        <w:instrText xml:space="preserve"> HYPERLINK \l "_Toc60235256" </w:instrText>
      </w:r>
      <w:r>
        <w:fldChar w:fldCharType="separate"/>
      </w:r>
      <w:r>
        <w:rPr>
          <w:rStyle w:val="51"/>
          <w:rFonts w:hint="eastAsia"/>
        </w:rPr>
        <w:t>二、入场登记</w:t>
      </w:r>
      <w:r>
        <w:tab/>
      </w:r>
      <w:r>
        <w:fldChar w:fldCharType="begin"/>
      </w:r>
      <w:r>
        <w:instrText xml:space="preserve"> PAGEREF _Toc60235256 \h </w:instrText>
      </w:r>
      <w:r>
        <w:fldChar w:fldCharType="separate"/>
      </w:r>
      <w:r>
        <w:t>1</w:t>
      </w:r>
      <w:r>
        <w:fldChar w:fldCharType="end"/>
      </w:r>
      <w:r>
        <w:fldChar w:fldCharType="end"/>
      </w:r>
    </w:p>
    <w:p>
      <w:pPr>
        <w:pStyle w:val="29"/>
        <w:tabs>
          <w:tab w:val="right" w:leader="dot" w:pos="8302"/>
        </w:tabs>
        <w:rPr>
          <w:rFonts w:asciiTheme="minorHAnsi" w:hAnsiTheme="minorHAnsi" w:eastAsiaTheme="minorEastAsia" w:cstheme="minorBidi"/>
          <w:bCs w:val="0"/>
          <w:caps w:val="0"/>
          <w:szCs w:val="22"/>
        </w:rPr>
      </w:pPr>
      <w:r>
        <w:fldChar w:fldCharType="begin"/>
      </w:r>
      <w:r>
        <w:instrText xml:space="preserve"> HYPERLINK \l "_Toc60235257" </w:instrText>
      </w:r>
      <w:r>
        <w:fldChar w:fldCharType="separate"/>
      </w:r>
      <w:r>
        <w:rPr>
          <w:rStyle w:val="51"/>
          <w:rFonts w:hint="eastAsia"/>
        </w:rPr>
        <w:t>三、场地预约</w:t>
      </w:r>
      <w:r>
        <w:tab/>
      </w:r>
      <w:r>
        <w:fldChar w:fldCharType="begin"/>
      </w:r>
      <w:r>
        <w:instrText xml:space="preserve"> PAGEREF _Toc60235257 \h </w:instrText>
      </w:r>
      <w:r>
        <w:fldChar w:fldCharType="separate"/>
      </w:r>
      <w:r>
        <w:t>3</w:t>
      </w:r>
      <w:r>
        <w:fldChar w:fldCharType="end"/>
      </w:r>
      <w:r>
        <w:fldChar w:fldCharType="end"/>
      </w:r>
    </w:p>
    <w:p>
      <w:pPr>
        <w:pStyle w:val="29"/>
        <w:tabs>
          <w:tab w:val="right" w:leader="dot" w:pos="8302"/>
        </w:tabs>
        <w:rPr>
          <w:rFonts w:asciiTheme="minorHAnsi" w:hAnsiTheme="minorHAnsi" w:eastAsiaTheme="minorEastAsia" w:cstheme="minorBidi"/>
          <w:bCs w:val="0"/>
          <w:caps w:val="0"/>
          <w:szCs w:val="22"/>
        </w:rPr>
      </w:pPr>
      <w:r>
        <w:fldChar w:fldCharType="begin"/>
      </w:r>
      <w:r>
        <w:instrText xml:space="preserve"> HYPERLINK \l "_Toc60235258" </w:instrText>
      </w:r>
      <w:r>
        <w:fldChar w:fldCharType="separate"/>
      </w:r>
      <w:r>
        <w:rPr>
          <w:rStyle w:val="51"/>
          <w:rFonts w:hint="eastAsia"/>
        </w:rPr>
        <w:t>四、公告公示信息查看</w:t>
      </w:r>
      <w:r>
        <w:tab/>
      </w:r>
      <w:r>
        <w:fldChar w:fldCharType="begin"/>
      </w:r>
      <w:r>
        <w:instrText xml:space="preserve"> PAGEREF _Toc60235258 \h </w:instrText>
      </w:r>
      <w:r>
        <w:fldChar w:fldCharType="separate"/>
      </w:r>
      <w:r>
        <w:t>6</w:t>
      </w:r>
      <w:r>
        <w:fldChar w:fldCharType="end"/>
      </w:r>
      <w:r>
        <w:fldChar w:fldCharType="end"/>
      </w:r>
    </w:p>
    <w:p>
      <w:pPr>
        <w:pStyle w:val="29"/>
        <w:tabs>
          <w:tab w:val="right" w:leader="dot" w:pos="8302"/>
        </w:tabs>
        <w:rPr>
          <w:rFonts w:asciiTheme="minorHAnsi" w:hAnsiTheme="minorHAnsi" w:eastAsiaTheme="minorEastAsia" w:cstheme="minorBidi"/>
          <w:bCs w:val="0"/>
          <w:caps w:val="0"/>
          <w:szCs w:val="22"/>
        </w:rPr>
      </w:pPr>
      <w:r>
        <w:fldChar w:fldCharType="begin"/>
      </w:r>
      <w:r>
        <w:instrText xml:space="preserve"> HYPERLINK \l "_Toc60235259" </w:instrText>
      </w:r>
      <w:r>
        <w:fldChar w:fldCharType="separate"/>
      </w:r>
      <w:r>
        <w:rPr>
          <w:rStyle w:val="51"/>
          <w:rFonts w:hint="eastAsia"/>
        </w:rPr>
        <w:t>五、场地变更</w:t>
      </w:r>
      <w:r>
        <w:tab/>
      </w:r>
      <w:r>
        <w:fldChar w:fldCharType="begin"/>
      </w:r>
      <w:r>
        <w:instrText xml:space="preserve"> PAGEREF _Toc60235259 \h </w:instrText>
      </w:r>
      <w:r>
        <w:fldChar w:fldCharType="separate"/>
      </w:r>
      <w:r>
        <w:t>8</w:t>
      </w:r>
      <w:r>
        <w:fldChar w:fldCharType="end"/>
      </w:r>
      <w:r>
        <w:fldChar w:fldCharType="end"/>
      </w:r>
    </w:p>
    <w:p>
      <w:pPr>
        <w:pStyle w:val="66"/>
        <w:spacing w:line="240" w:lineRule="auto"/>
        <w:ind w:firstLine="360"/>
        <w:rPr>
          <w:rFonts w:ascii="Calibri" w:hAnsi="Calibri" w:cs="Calibri"/>
          <w:szCs w:val="20"/>
        </w:rPr>
      </w:pPr>
      <w:r>
        <w:rPr>
          <w:rFonts w:ascii="Calibri" w:hAnsi="Calibri" w:cs="Calibri"/>
          <w:szCs w:val="20"/>
        </w:rPr>
        <w:fldChar w:fldCharType="end"/>
      </w:r>
    </w:p>
    <w:p>
      <w:pPr>
        <w:pStyle w:val="66"/>
        <w:spacing w:line="240" w:lineRule="auto"/>
        <w:ind w:firstLine="360"/>
        <w:rPr>
          <w:rFonts w:ascii="Calibri" w:hAnsi="Calibri" w:cs="Calibri"/>
          <w:szCs w:val="20"/>
        </w:rPr>
        <w:sectPr>
          <w:pgSz w:w="11906" w:h="16838"/>
          <w:pgMar w:top="1440" w:right="1797" w:bottom="1440" w:left="1797" w:header="454" w:footer="680" w:gutter="0"/>
          <w:pgNumType w:fmt="upperRoman" w:start="1"/>
          <w:cols w:space="720" w:num="1"/>
          <w:docGrid w:type="lines" w:linePitch="312" w:charSpace="0"/>
        </w:sectPr>
      </w:pPr>
    </w:p>
    <w:p>
      <w:pPr>
        <w:ind w:firstLine="560"/>
        <w:rPr>
          <w:color w:val="FF0000"/>
          <w:sz w:val="28"/>
          <w:szCs w:val="28"/>
        </w:rPr>
      </w:pPr>
      <w:r>
        <w:rPr>
          <w:rFonts w:hint="eastAsia"/>
          <w:color w:val="FF0000"/>
          <w:sz w:val="28"/>
          <w:szCs w:val="28"/>
        </w:rPr>
        <w:t>特别提示：</w:t>
      </w:r>
      <w:r>
        <w:rPr>
          <w:color w:val="FF0000"/>
          <w:sz w:val="28"/>
          <w:szCs w:val="28"/>
        </w:rPr>
        <w:t>本指南适用于</w:t>
      </w:r>
      <w:r>
        <w:rPr>
          <w:rFonts w:hint="eastAsia"/>
          <w:color w:val="FF0000"/>
          <w:sz w:val="28"/>
          <w:szCs w:val="28"/>
        </w:rPr>
        <w:t>在</w:t>
      </w:r>
      <w:r>
        <w:rPr>
          <w:color w:val="FF0000"/>
          <w:sz w:val="28"/>
          <w:szCs w:val="28"/>
        </w:rPr>
        <w:t>辽宁省建设工程信息网</w:t>
      </w:r>
      <w:r>
        <w:rPr>
          <w:rFonts w:hint="eastAsia"/>
          <w:color w:val="FF0000"/>
          <w:sz w:val="28"/>
          <w:szCs w:val="28"/>
        </w:rPr>
        <w:t>（辽宁省房屋建筑和市政工程招投标监管平台）完成项目注册并已选定辽宁省公共资源交易平台进场交易的房屋建筑或市政公用工程建设项目。</w:t>
      </w:r>
    </w:p>
    <w:p>
      <w:pPr>
        <w:pStyle w:val="3"/>
        <w:numPr>
          <w:ilvl w:val="0"/>
          <w:numId w:val="0"/>
        </w:numPr>
        <w:adjustRightInd w:val="0"/>
        <w:snapToGrid w:val="0"/>
        <w:spacing w:before="360"/>
        <w:ind w:firstLine="643" w:firstLineChars="200"/>
      </w:pPr>
      <w:bookmarkStart w:id="0" w:name="_Toc60235255"/>
      <w:r>
        <w:t>一</w:t>
      </w:r>
      <w:r>
        <w:rPr>
          <w:rFonts w:hint="eastAsia"/>
        </w:rPr>
        <w:t>、选定省平台交易</w:t>
      </w:r>
      <w:bookmarkEnd w:id="0"/>
    </w:p>
    <w:p>
      <w:pPr>
        <w:rPr>
          <w:bCs/>
        </w:rPr>
      </w:pPr>
      <w:r>
        <w:rPr>
          <w:rFonts w:hint="eastAsia"/>
          <w:bCs/>
        </w:rPr>
        <w:t>在</w:t>
      </w:r>
      <w:r>
        <w:rPr>
          <w:bCs/>
        </w:rPr>
        <w:t>辽宁省建设工程信息网</w:t>
      </w:r>
      <w:r>
        <w:rPr>
          <w:rFonts w:hint="eastAsia"/>
          <w:bCs/>
        </w:rPr>
        <w:t>（辽宁省房屋建筑和市政工程招投标监管平台）完成项目注册，并选定省平台交易，如图所示：</w:t>
      </w:r>
    </w:p>
    <w:p>
      <w:pPr>
        <w:pStyle w:val="2"/>
        <w:ind w:firstLine="0" w:firstLineChars="0"/>
      </w:pPr>
      <w:r>
        <w:drawing>
          <wp:inline distT="0" distB="0" distL="0" distR="0">
            <wp:extent cx="5278120" cy="2702560"/>
            <wp:effectExtent l="0" t="0" r="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0" cstate="print"/>
                    <a:srcRect/>
                    <a:stretch>
                      <a:fillRect/>
                    </a:stretch>
                  </pic:blipFill>
                  <pic:spPr>
                    <a:xfrm>
                      <a:off x="0" y="0"/>
                      <a:ext cx="5278120" cy="2702560"/>
                    </a:xfrm>
                    <a:prstGeom prst="rect">
                      <a:avLst/>
                    </a:prstGeom>
                    <a:noFill/>
                    <a:ln w="9525">
                      <a:noFill/>
                      <a:miter lim="800000"/>
                      <a:headEnd/>
                      <a:tailEnd/>
                    </a:ln>
                  </pic:spPr>
                </pic:pic>
              </a:graphicData>
            </a:graphic>
          </wp:inline>
        </w:drawing>
      </w:r>
    </w:p>
    <w:p>
      <w:pPr>
        <w:pStyle w:val="2"/>
        <w:ind w:firstLine="420"/>
      </w:pPr>
    </w:p>
    <w:p>
      <w:pPr>
        <w:pStyle w:val="3"/>
        <w:numPr>
          <w:ilvl w:val="0"/>
          <w:numId w:val="0"/>
        </w:numPr>
        <w:adjustRightInd w:val="0"/>
        <w:snapToGrid w:val="0"/>
        <w:spacing w:before="360"/>
        <w:ind w:firstLine="643" w:firstLineChars="200"/>
      </w:pPr>
      <w:bookmarkStart w:id="1" w:name="_Toc60235256"/>
      <w:r>
        <w:rPr>
          <w:rFonts w:hint="eastAsia"/>
        </w:rPr>
        <w:t>二、入场登记</w:t>
      </w:r>
      <w:bookmarkEnd w:id="1"/>
    </w:p>
    <w:p>
      <w:pPr>
        <w:rPr>
          <w:bCs/>
        </w:rPr>
      </w:pPr>
      <w:r>
        <w:rPr>
          <w:rFonts w:hint="eastAsia"/>
          <w:bCs/>
        </w:rPr>
        <w:t>辽宁省公共资源电子交易平台自动获取</w:t>
      </w:r>
      <w:r>
        <w:rPr>
          <w:bCs/>
        </w:rPr>
        <w:t>辽宁省建设工程信息网</w:t>
      </w:r>
      <w:r>
        <w:rPr>
          <w:rFonts w:hint="eastAsia"/>
          <w:bCs/>
        </w:rPr>
        <w:t>推送的项目信息，并给招标代理公司生成一条待办事项。</w:t>
      </w:r>
    </w:p>
    <w:p>
      <w:r>
        <w:rPr>
          <w:rFonts w:hint="eastAsia"/>
        </w:rPr>
        <w:t>1、使用进入</w:t>
      </w:r>
      <w:r>
        <w:t>菜单“</w:t>
      </w:r>
      <w:r>
        <w:rPr>
          <w:rFonts w:hint="eastAsia"/>
        </w:rPr>
        <w:t>工程业务</w:t>
      </w:r>
      <w:r>
        <w:t>—</w:t>
      </w:r>
      <w:r>
        <w:rPr>
          <w:rFonts w:hint="eastAsia"/>
        </w:rPr>
        <w:t>招标方案</w:t>
      </w:r>
      <w:r>
        <w:t>—</w:t>
      </w:r>
      <w:r>
        <w:rPr>
          <w:rFonts w:hint="eastAsia"/>
        </w:rPr>
        <w:t>入场登记</w:t>
      </w:r>
      <w:r>
        <w:t>”，如下图：</w:t>
      </w:r>
    </w:p>
    <w:p>
      <w:pPr>
        <w:ind w:firstLine="0" w:firstLineChars="0"/>
        <w:rPr>
          <w:b/>
        </w:rPr>
      </w:pPr>
      <w:r>
        <w:drawing>
          <wp:inline distT="0" distB="0" distL="114300" distR="114300">
            <wp:extent cx="5270500" cy="2817495"/>
            <wp:effectExtent l="0" t="0" r="635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cstate="print"/>
                    <a:stretch>
                      <a:fillRect/>
                    </a:stretch>
                  </pic:blipFill>
                  <pic:spPr>
                    <a:xfrm>
                      <a:off x="0" y="0"/>
                      <a:ext cx="5270500" cy="2817495"/>
                    </a:xfrm>
                    <a:prstGeom prst="rect">
                      <a:avLst/>
                    </a:prstGeom>
                    <a:noFill/>
                    <a:ln>
                      <a:noFill/>
                    </a:ln>
                  </pic:spPr>
                </pic:pic>
              </a:graphicData>
            </a:graphic>
          </wp:inline>
        </w:drawing>
      </w:r>
    </w:p>
    <w:p>
      <w:r>
        <w:rPr>
          <w:rFonts w:hint="eastAsia"/>
        </w:rPr>
        <w:t>2、</w:t>
      </w:r>
      <w:r>
        <w:t>在待办事项中或入场登记编辑列表中找到该项目数据</w:t>
      </w:r>
      <w:r>
        <w:rPr>
          <w:rFonts w:hint="eastAsia"/>
        </w:rPr>
        <w:t>，点击编辑中按钮，</w:t>
      </w:r>
      <w:r>
        <w:t>进入</w:t>
      </w:r>
      <w:r>
        <w:rPr>
          <w:rFonts w:hint="eastAsia"/>
        </w:rPr>
        <w:t>信息录入界面，红色*标记的为必填项。</w:t>
      </w:r>
      <w:r>
        <w:t>如图</w:t>
      </w:r>
      <w:r>
        <w:rPr>
          <w:rFonts w:hint="eastAsia"/>
        </w:rPr>
        <w:t>：</w:t>
      </w:r>
    </w:p>
    <w:p>
      <w:pPr>
        <w:pStyle w:val="2"/>
        <w:ind w:firstLine="0" w:firstLineChars="0"/>
      </w:pPr>
      <w:r>
        <w:drawing>
          <wp:inline distT="0" distB="0" distL="0" distR="0">
            <wp:extent cx="5278120" cy="168719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rcRect/>
                    <a:stretch>
                      <a:fillRect/>
                    </a:stretch>
                  </pic:blipFill>
                  <pic:spPr>
                    <a:xfrm>
                      <a:off x="0" y="0"/>
                      <a:ext cx="5278120" cy="1687531"/>
                    </a:xfrm>
                    <a:prstGeom prst="rect">
                      <a:avLst/>
                    </a:prstGeom>
                    <a:noFill/>
                    <a:ln w="9525">
                      <a:noFill/>
                      <a:miter lim="800000"/>
                      <a:headEnd/>
                      <a:tailEnd/>
                    </a:ln>
                  </pic:spPr>
                </pic:pic>
              </a:graphicData>
            </a:graphic>
          </wp:inline>
        </w:drawing>
      </w:r>
    </w:p>
    <w:p>
      <w:pPr>
        <w:ind w:firstLine="0" w:firstLineChars="0"/>
      </w:pPr>
      <w:r>
        <w:drawing>
          <wp:inline distT="0" distB="0" distL="114300" distR="114300">
            <wp:extent cx="5271770" cy="2821305"/>
            <wp:effectExtent l="0" t="0" r="5080" b="171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cstate="print"/>
                    <a:stretch>
                      <a:fillRect/>
                    </a:stretch>
                  </pic:blipFill>
                  <pic:spPr>
                    <a:xfrm>
                      <a:off x="0" y="0"/>
                      <a:ext cx="5271770" cy="2821305"/>
                    </a:xfrm>
                    <a:prstGeom prst="rect">
                      <a:avLst/>
                    </a:prstGeom>
                    <a:noFill/>
                    <a:ln>
                      <a:noFill/>
                    </a:ln>
                  </pic:spPr>
                </pic:pic>
              </a:graphicData>
            </a:graphic>
          </wp:inline>
        </w:drawing>
      </w:r>
    </w:p>
    <w:p>
      <w:r>
        <w:rPr>
          <w:rFonts w:hint="eastAsia"/>
        </w:rPr>
        <w:t>3、维护完信息后，提交信息，输入签署意见，点击确认提交</w:t>
      </w:r>
      <w:r>
        <w:t>。</w:t>
      </w:r>
    </w:p>
    <w:p>
      <w:pPr>
        <w:ind w:firstLine="0" w:firstLineChars="0"/>
      </w:pPr>
      <w:r>
        <w:drawing>
          <wp:inline distT="0" distB="0" distL="114300" distR="114300">
            <wp:extent cx="5266690" cy="2804795"/>
            <wp:effectExtent l="0" t="0" r="10160" b="146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cstate="print"/>
                    <a:stretch>
                      <a:fillRect/>
                    </a:stretch>
                  </pic:blipFill>
                  <pic:spPr>
                    <a:xfrm>
                      <a:off x="0" y="0"/>
                      <a:ext cx="5266690" cy="2804795"/>
                    </a:xfrm>
                    <a:prstGeom prst="rect">
                      <a:avLst/>
                    </a:prstGeom>
                    <a:noFill/>
                    <a:ln>
                      <a:noFill/>
                    </a:ln>
                  </pic:spPr>
                </pic:pic>
              </a:graphicData>
            </a:graphic>
          </wp:inline>
        </w:drawing>
      </w:r>
    </w:p>
    <w:p>
      <w:r>
        <w:rPr>
          <w:rFonts w:hint="eastAsia"/>
        </w:rPr>
        <w:t>4、信息审核通过之后，可在信息列表查看。</w:t>
      </w:r>
    </w:p>
    <w:p>
      <w:pPr>
        <w:pStyle w:val="3"/>
        <w:numPr>
          <w:ilvl w:val="0"/>
          <w:numId w:val="0"/>
        </w:numPr>
        <w:adjustRightInd w:val="0"/>
        <w:snapToGrid w:val="0"/>
        <w:spacing w:before="360"/>
        <w:ind w:firstLine="643" w:firstLineChars="200"/>
      </w:pPr>
      <w:bookmarkStart w:id="2" w:name="_Toc60235257"/>
      <w:bookmarkStart w:id="3" w:name="_Toc60160408"/>
      <w:r>
        <w:rPr>
          <w:rFonts w:hint="eastAsia"/>
        </w:rPr>
        <w:t>三、场地预约</w:t>
      </w:r>
      <w:bookmarkEnd w:id="2"/>
      <w:bookmarkEnd w:id="3"/>
    </w:p>
    <w:p>
      <w:r>
        <w:rPr>
          <w:rFonts w:hint="eastAsia"/>
        </w:rPr>
        <w:t>1、</w:t>
      </w:r>
      <w:r>
        <w:t>进入菜单“</w:t>
      </w:r>
      <w:r>
        <w:rPr>
          <w:rFonts w:hint="eastAsia"/>
        </w:rPr>
        <w:t>工程业务</w:t>
      </w:r>
      <w:r>
        <w:t>—</w:t>
      </w:r>
      <w:r>
        <w:rPr>
          <w:rFonts w:hint="eastAsia"/>
        </w:rPr>
        <w:t>发标</w:t>
      </w:r>
      <w:r>
        <w:t>—</w:t>
      </w:r>
      <w:r>
        <w:rPr>
          <w:rFonts w:hint="eastAsia"/>
        </w:rPr>
        <w:t>开评标场地预约</w:t>
      </w:r>
      <w:r>
        <w:t>”，如下图：</w:t>
      </w:r>
    </w:p>
    <w:p>
      <w:pPr>
        <w:ind w:firstLine="0" w:firstLineChars="0"/>
        <w:rPr>
          <w:b/>
        </w:rPr>
      </w:pPr>
      <w:r>
        <w:drawing>
          <wp:inline distT="0" distB="0" distL="114300" distR="114300">
            <wp:extent cx="5271135" cy="2312670"/>
            <wp:effectExtent l="0" t="0" r="1206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cstate="print"/>
                    <a:stretch>
                      <a:fillRect/>
                    </a:stretch>
                  </pic:blipFill>
                  <pic:spPr>
                    <a:xfrm>
                      <a:off x="0" y="0"/>
                      <a:ext cx="5271135" cy="2312670"/>
                    </a:xfrm>
                    <a:prstGeom prst="rect">
                      <a:avLst/>
                    </a:prstGeom>
                    <a:noFill/>
                    <a:ln>
                      <a:noFill/>
                    </a:ln>
                  </pic:spPr>
                </pic:pic>
              </a:graphicData>
            </a:graphic>
          </wp:inline>
        </w:drawing>
      </w:r>
    </w:p>
    <w:p>
      <w:r>
        <w:rPr>
          <w:rFonts w:hint="eastAsia"/>
        </w:rPr>
        <w:t>2、</w:t>
      </w:r>
      <w:r>
        <w:t>点击</w:t>
      </w:r>
      <w:r>
        <w:rPr>
          <w:rFonts w:hint="eastAsia"/>
        </w:rPr>
        <w:t>“新增开标场地”</w:t>
      </w:r>
      <w:r>
        <w:t>按钮，进入</w:t>
      </w:r>
      <w:r>
        <w:rPr>
          <w:rFonts w:hint="eastAsia"/>
        </w:rPr>
        <w:t>挑选标段（包）</w:t>
      </w:r>
      <w:r>
        <w:t>页面</w:t>
      </w:r>
      <w:r>
        <w:rPr>
          <w:rFonts w:hint="eastAsia"/>
        </w:rPr>
        <w:t>；挑选对应的标段，确认选择。</w:t>
      </w:r>
    </w:p>
    <w:p>
      <w:pPr>
        <w:ind w:firstLine="0" w:firstLineChars="0"/>
        <w:rPr>
          <w:b/>
        </w:rPr>
      </w:pPr>
      <w:r>
        <w:drawing>
          <wp:inline distT="0" distB="0" distL="114300" distR="114300">
            <wp:extent cx="5269230" cy="2260600"/>
            <wp:effectExtent l="0" t="0" r="127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6" cstate="print"/>
                    <a:stretch>
                      <a:fillRect/>
                    </a:stretch>
                  </pic:blipFill>
                  <pic:spPr>
                    <a:xfrm>
                      <a:off x="0" y="0"/>
                      <a:ext cx="5269230" cy="2260600"/>
                    </a:xfrm>
                    <a:prstGeom prst="rect">
                      <a:avLst/>
                    </a:prstGeom>
                    <a:noFill/>
                    <a:ln>
                      <a:noFill/>
                    </a:ln>
                  </pic:spPr>
                </pic:pic>
              </a:graphicData>
            </a:graphic>
          </wp:inline>
        </w:drawing>
      </w:r>
    </w:p>
    <w:p>
      <w:pPr>
        <w:numPr>
          <w:ilvl w:val="0"/>
          <w:numId w:val="2"/>
        </w:numPr>
      </w:pPr>
      <w:r>
        <w:rPr>
          <w:rFonts w:hint="eastAsia"/>
        </w:rPr>
        <w:t>维护开标室、开标时间、评标室、评标时间</w:t>
      </w:r>
      <w:r>
        <w:t>。</w:t>
      </w:r>
      <w:r>
        <w:drawing>
          <wp:inline distT="0" distB="0" distL="114300" distR="114300">
            <wp:extent cx="5267960" cy="2219325"/>
            <wp:effectExtent l="0" t="0" r="8890" b="9525"/>
            <wp:docPr id="9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7"/>
                    <pic:cNvPicPr>
                      <a:picLocks noChangeAspect="1"/>
                    </pic:cNvPicPr>
                  </pic:nvPicPr>
                  <pic:blipFill>
                    <a:blip r:embed="rId17" cstate="print"/>
                    <a:stretch>
                      <a:fillRect/>
                    </a:stretch>
                  </pic:blipFill>
                  <pic:spPr>
                    <a:xfrm>
                      <a:off x="0" y="0"/>
                      <a:ext cx="5267960" cy="2219325"/>
                    </a:xfrm>
                    <a:prstGeom prst="rect">
                      <a:avLst/>
                    </a:prstGeom>
                    <a:noFill/>
                    <a:ln>
                      <a:noFill/>
                    </a:ln>
                  </pic:spPr>
                </pic:pic>
              </a:graphicData>
            </a:graphic>
          </wp:inline>
        </w:drawing>
      </w:r>
    </w:p>
    <w:p>
      <w:pPr>
        <w:numPr>
          <w:ilvl w:val="0"/>
          <w:numId w:val="2"/>
        </w:numPr>
      </w:pPr>
      <w:r>
        <w:rPr>
          <w:rFonts w:hint="eastAsia"/>
        </w:rPr>
        <w:t>点击生成子账号提示子账号生成成功后，填写保证金金额，填写完毕提交信息审核。</w:t>
      </w:r>
    </w:p>
    <w:p>
      <w:pPr>
        <w:ind w:firstLine="0" w:firstLineChars="0"/>
      </w:pPr>
    </w:p>
    <w:p>
      <w:pPr>
        <w:ind w:firstLine="0" w:firstLineChars="0"/>
      </w:pPr>
      <w:r>
        <w:drawing>
          <wp:inline distT="0" distB="0" distL="114300" distR="114300">
            <wp:extent cx="5262245" cy="2800985"/>
            <wp:effectExtent l="0" t="0" r="14605" b="18415"/>
            <wp:docPr id="9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
                    <pic:cNvPicPr>
                      <a:picLocks noChangeAspect="1"/>
                    </pic:cNvPicPr>
                  </pic:nvPicPr>
                  <pic:blipFill>
                    <a:blip r:embed="rId18" cstate="print"/>
                    <a:stretch>
                      <a:fillRect/>
                    </a:stretch>
                  </pic:blipFill>
                  <pic:spPr>
                    <a:xfrm>
                      <a:off x="0" y="0"/>
                      <a:ext cx="5262245" cy="2800985"/>
                    </a:xfrm>
                    <a:prstGeom prst="rect">
                      <a:avLst/>
                    </a:prstGeom>
                    <a:noFill/>
                    <a:ln>
                      <a:noFill/>
                    </a:ln>
                  </pic:spPr>
                </pic:pic>
              </a:graphicData>
            </a:graphic>
          </wp:inline>
        </w:drawing>
      </w:r>
    </w:p>
    <w:p>
      <w:pPr>
        <w:ind w:firstLine="0" w:firstLineChars="0"/>
      </w:pPr>
      <w:r>
        <w:drawing>
          <wp:inline distT="0" distB="0" distL="114300" distR="114300">
            <wp:extent cx="5263515" cy="2802255"/>
            <wp:effectExtent l="0" t="0" r="13335" b="17145"/>
            <wp:docPr id="9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10"/>
                    <pic:cNvPicPr>
                      <a:picLocks noChangeAspect="1"/>
                    </pic:cNvPicPr>
                  </pic:nvPicPr>
                  <pic:blipFill>
                    <a:blip r:embed="rId19" cstate="print"/>
                    <a:stretch>
                      <a:fillRect/>
                    </a:stretch>
                  </pic:blipFill>
                  <pic:spPr>
                    <a:xfrm>
                      <a:off x="0" y="0"/>
                      <a:ext cx="5263515" cy="2802255"/>
                    </a:xfrm>
                    <a:prstGeom prst="rect">
                      <a:avLst/>
                    </a:prstGeom>
                    <a:noFill/>
                    <a:ln>
                      <a:noFill/>
                    </a:ln>
                  </pic:spPr>
                </pic:pic>
              </a:graphicData>
            </a:graphic>
          </wp:inline>
        </w:drawing>
      </w:r>
    </w:p>
    <w:p>
      <w:r>
        <w:rPr>
          <w:rFonts w:hint="eastAsia"/>
        </w:rPr>
        <w:t>5、输入签署意见，确认提交。</w:t>
      </w:r>
    </w:p>
    <w:p>
      <w:pPr>
        <w:ind w:firstLine="0" w:firstLineChars="0"/>
      </w:pPr>
      <w:r>
        <w:drawing>
          <wp:inline distT="0" distB="0" distL="114300" distR="114300">
            <wp:extent cx="5276850" cy="2110105"/>
            <wp:effectExtent l="0" t="0" r="6350" b="10795"/>
            <wp:docPr id="9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8"/>
                    <pic:cNvPicPr>
                      <a:picLocks noChangeAspect="1"/>
                    </pic:cNvPicPr>
                  </pic:nvPicPr>
                  <pic:blipFill>
                    <a:blip r:embed="rId20" cstate="print"/>
                    <a:stretch>
                      <a:fillRect/>
                    </a:stretch>
                  </pic:blipFill>
                  <pic:spPr>
                    <a:xfrm>
                      <a:off x="0" y="0"/>
                      <a:ext cx="5276850" cy="2110105"/>
                    </a:xfrm>
                    <a:prstGeom prst="rect">
                      <a:avLst/>
                    </a:prstGeom>
                    <a:noFill/>
                    <a:ln>
                      <a:noFill/>
                    </a:ln>
                  </pic:spPr>
                </pic:pic>
              </a:graphicData>
            </a:graphic>
          </wp:inline>
        </w:drawing>
      </w:r>
    </w:p>
    <w:p>
      <w:r>
        <w:rPr>
          <w:rFonts w:hint="eastAsia"/>
        </w:rPr>
        <w:t>6、在信息列表查看审核状态</w:t>
      </w:r>
      <w:r>
        <w:t>。</w:t>
      </w:r>
    </w:p>
    <w:p>
      <w:pPr>
        <w:ind w:firstLine="0" w:firstLineChars="0"/>
      </w:pPr>
      <w:r>
        <w:drawing>
          <wp:inline distT="0" distB="0" distL="114300" distR="114300">
            <wp:extent cx="5266690" cy="2301240"/>
            <wp:effectExtent l="0" t="0" r="3810" b="10160"/>
            <wp:docPr id="9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
                    <pic:cNvPicPr>
                      <a:picLocks noChangeAspect="1"/>
                    </pic:cNvPicPr>
                  </pic:nvPicPr>
                  <pic:blipFill>
                    <a:blip r:embed="rId21" cstate="print"/>
                    <a:stretch>
                      <a:fillRect/>
                    </a:stretch>
                  </pic:blipFill>
                  <pic:spPr>
                    <a:xfrm>
                      <a:off x="0" y="0"/>
                      <a:ext cx="5266690" cy="2301240"/>
                    </a:xfrm>
                    <a:prstGeom prst="rect">
                      <a:avLst/>
                    </a:prstGeom>
                    <a:noFill/>
                    <a:ln>
                      <a:noFill/>
                    </a:ln>
                  </pic:spPr>
                </pic:pic>
              </a:graphicData>
            </a:graphic>
          </wp:inline>
        </w:drawing>
      </w:r>
    </w:p>
    <w:p>
      <w:pPr>
        <w:pStyle w:val="3"/>
        <w:numPr>
          <w:ilvl w:val="0"/>
          <w:numId w:val="0"/>
        </w:numPr>
        <w:adjustRightInd w:val="0"/>
        <w:snapToGrid w:val="0"/>
        <w:spacing w:before="360"/>
        <w:ind w:firstLine="643" w:firstLineChars="200"/>
      </w:pPr>
      <w:bookmarkStart w:id="4" w:name="_Toc60160409"/>
      <w:bookmarkStart w:id="5" w:name="_Toc60235258"/>
      <w:r>
        <w:rPr>
          <w:rFonts w:hint="eastAsia"/>
        </w:rPr>
        <w:t>四、公告</w:t>
      </w:r>
      <w:bookmarkEnd w:id="4"/>
      <w:r>
        <w:rPr>
          <w:rFonts w:hint="eastAsia"/>
        </w:rPr>
        <w:t>公示信息查看</w:t>
      </w:r>
      <w:bookmarkEnd w:id="5"/>
    </w:p>
    <w:p>
      <w:r>
        <w:rPr>
          <w:rFonts w:hint="eastAsia"/>
          <w:bCs/>
        </w:rPr>
        <w:t>在</w:t>
      </w:r>
      <w:r>
        <w:rPr>
          <w:bCs/>
        </w:rPr>
        <w:t>辽宁省建设工程信息网</w:t>
      </w:r>
      <w:r>
        <w:rPr>
          <w:rFonts w:hint="eastAsia"/>
          <w:bCs/>
        </w:rPr>
        <w:t>发布招标公告、中标候选人公示、中标结果公告及其变更公告后，辽宁省公共资源电子交易平台自动获取公告公示信息，并推送至网站</w:t>
      </w:r>
      <w:r>
        <w:rPr>
          <w:rFonts w:hint="eastAsia"/>
        </w:rPr>
        <w:t>。</w:t>
      </w:r>
    </w:p>
    <w:p>
      <w:r>
        <w:rPr>
          <w:rFonts w:hint="eastAsia"/>
        </w:rPr>
        <w:t>1、</w:t>
      </w:r>
      <w:r>
        <w:t>进入菜单“</w:t>
      </w:r>
      <w:r>
        <w:rPr>
          <w:rFonts w:hint="eastAsia"/>
        </w:rPr>
        <w:t>工程业务</w:t>
      </w:r>
      <w:r>
        <w:t>—</w:t>
      </w:r>
      <w:r>
        <w:rPr>
          <w:rFonts w:hint="eastAsia"/>
        </w:rPr>
        <w:t>投标邀请</w:t>
      </w:r>
      <w:r>
        <w:t>—</w:t>
      </w:r>
      <w:r>
        <w:rPr>
          <w:rFonts w:hint="eastAsia"/>
        </w:rPr>
        <w:t>招标公告</w:t>
      </w:r>
      <w:r>
        <w:t>”，可查看从</w:t>
      </w:r>
      <w:r>
        <w:rPr>
          <w:bCs/>
        </w:rPr>
        <w:t>辽宁省建设工程信息网</w:t>
      </w:r>
      <w:r>
        <w:t>同步过来的招标公告</w:t>
      </w:r>
      <w:r>
        <w:rPr>
          <w:rFonts w:hint="eastAsia"/>
        </w:rPr>
        <w:t>，</w:t>
      </w:r>
      <w:r>
        <w:t>如下图：</w:t>
      </w:r>
    </w:p>
    <w:p>
      <w:pPr>
        <w:ind w:firstLine="0" w:firstLineChars="0"/>
        <w:rPr>
          <w:b/>
        </w:rPr>
      </w:pPr>
      <w:r>
        <w:drawing>
          <wp:inline distT="0" distB="0" distL="114300" distR="114300">
            <wp:extent cx="5276215" cy="2317750"/>
            <wp:effectExtent l="0" t="0" r="6985" b="6350"/>
            <wp:docPr id="9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10"/>
                    <pic:cNvPicPr>
                      <a:picLocks noChangeAspect="1"/>
                    </pic:cNvPicPr>
                  </pic:nvPicPr>
                  <pic:blipFill>
                    <a:blip r:embed="rId22" cstate="print"/>
                    <a:stretch>
                      <a:fillRect/>
                    </a:stretch>
                  </pic:blipFill>
                  <pic:spPr>
                    <a:xfrm>
                      <a:off x="0" y="0"/>
                      <a:ext cx="5276215" cy="2317750"/>
                    </a:xfrm>
                    <a:prstGeom prst="rect">
                      <a:avLst/>
                    </a:prstGeom>
                    <a:noFill/>
                    <a:ln>
                      <a:noFill/>
                    </a:ln>
                  </pic:spPr>
                </pic:pic>
              </a:graphicData>
            </a:graphic>
          </wp:inline>
        </w:drawing>
      </w:r>
    </w:p>
    <w:p>
      <w:r>
        <w:t>2</w:t>
      </w:r>
      <w:r>
        <w:rPr>
          <w:rFonts w:hint="eastAsia"/>
        </w:rPr>
        <w:t>、进入菜单“工程业务－定标－中标候选人公示”，可查看从</w:t>
      </w:r>
      <w:r>
        <w:rPr>
          <w:bCs/>
        </w:rPr>
        <w:t>辽宁省建设工程信息网</w:t>
      </w:r>
      <w:r>
        <w:rPr>
          <w:rFonts w:hint="eastAsia"/>
        </w:rPr>
        <w:t>同步过来的中标候选人公示，如下图：</w:t>
      </w:r>
    </w:p>
    <w:p>
      <w:pPr>
        <w:ind w:firstLine="0" w:firstLineChars="0"/>
      </w:pPr>
      <w:r>
        <w:drawing>
          <wp:inline distT="0" distB="0" distL="114300" distR="114300">
            <wp:extent cx="5266690" cy="2304415"/>
            <wp:effectExtent l="0" t="0" r="3810" b="6985"/>
            <wp:docPr id="9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30"/>
                    <pic:cNvPicPr>
                      <a:picLocks noChangeAspect="1"/>
                    </pic:cNvPicPr>
                  </pic:nvPicPr>
                  <pic:blipFill>
                    <a:blip r:embed="rId23" cstate="print"/>
                    <a:stretch>
                      <a:fillRect/>
                    </a:stretch>
                  </pic:blipFill>
                  <pic:spPr>
                    <a:xfrm>
                      <a:off x="0" y="0"/>
                      <a:ext cx="5266690" cy="2304415"/>
                    </a:xfrm>
                    <a:prstGeom prst="rect">
                      <a:avLst/>
                    </a:prstGeom>
                    <a:noFill/>
                    <a:ln>
                      <a:noFill/>
                    </a:ln>
                  </pic:spPr>
                </pic:pic>
              </a:graphicData>
            </a:graphic>
          </wp:inline>
        </w:drawing>
      </w:r>
    </w:p>
    <w:p>
      <w:r>
        <w:rPr>
          <w:rFonts w:hint="eastAsia"/>
        </w:rPr>
        <w:t>3、进入菜单“工程业务－定标－中标结果公告”，可查看从</w:t>
      </w:r>
      <w:r>
        <w:rPr>
          <w:bCs/>
        </w:rPr>
        <w:t>辽宁省建设工程信息网</w:t>
      </w:r>
      <w:r>
        <w:rPr>
          <w:rFonts w:hint="eastAsia"/>
        </w:rPr>
        <w:t>同步过来的中标结果公告，如下图：</w:t>
      </w:r>
    </w:p>
    <w:p/>
    <w:p>
      <w:pPr>
        <w:ind w:firstLine="0" w:firstLineChars="0"/>
      </w:pPr>
      <w:r>
        <w:drawing>
          <wp:inline distT="0" distB="0" distL="114300" distR="114300">
            <wp:extent cx="5267960" cy="2304415"/>
            <wp:effectExtent l="0" t="0" r="2540" b="6985"/>
            <wp:docPr id="9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31"/>
                    <pic:cNvPicPr>
                      <a:picLocks noChangeAspect="1"/>
                    </pic:cNvPicPr>
                  </pic:nvPicPr>
                  <pic:blipFill>
                    <a:blip r:embed="rId24" cstate="print"/>
                    <a:stretch>
                      <a:fillRect/>
                    </a:stretch>
                  </pic:blipFill>
                  <pic:spPr>
                    <a:xfrm>
                      <a:off x="0" y="0"/>
                      <a:ext cx="5267960" cy="2304415"/>
                    </a:xfrm>
                    <a:prstGeom prst="rect">
                      <a:avLst/>
                    </a:prstGeom>
                    <a:noFill/>
                    <a:ln>
                      <a:noFill/>
                    </a:ln>
                  </pic:spPr>
                </pic:pic>
              </a:graphicData>
            </a:graphic>
          </wp:inline>
        </w:drawing>
      </w:r>
    </w:p>
    <w:p>
      <w:pPr>
        <w:ind w:firstLine="0" w:firstLineChars="0"/>
      </w:pPr>
    </w:p>
    <w:p>
      <w:r>
        <w:rPr>
          <w:rFonts w:hint="eastAsia"/>
        </w:rPr>
        <w:t>4、点击“工程业务－投标邀请－变更公告”，可查看从</w:t>
      </w:r>
      <w:r>
        <w:rPr>
          <w:bCs/>
        </w:rPr>
        <w:t>辽宁省建设工程信息网</w:t>
      </w:r>
      <w:r>
        <w:rPr>
          <w:rFonts w:hint="eastAsia"/>
        </w:rPr>
        <w:t>同步过来的变更公告，如下图：</w:t>
      </w:r>
    </w:p>
    <w:p>
      <w:pPr>
        <w:ind w:firstLine="0" w:firstLineChars="0"/>
      </w:pPr>
      <w:r>
        <w:drawing>
          <wp:inline distT="0" distB="0" distL="114300" distR="114300">
            <wp:extent cx="5260975" cy="2821305"/>
            <wp:effectExtent l="0" t="0" r="15875" b="17145"/>
            <wp:docPr id="9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18"/>
                    <pic:cNvPicPr>
                      <a:picLocks noChangeAspect="1"/>
                    </pic:cNvPicPr>
                  </pic:nvPicPr>
                  <pic:blipFill>
                    <a:blip r:embed="rId25" cstate="print"/>
                    <a:stretch>
                      <a:fillRect/>
                    </a:stretch>
                  </pic:blipFill>
                  <pic:spPr>
                    <a:xfrm>
                      <a:off x="0" y="0"/>
                      <a:ext cx="5260975" cy="2821305"/>
                    </a:xfrm>
                    <a:prstGeom prst="rect">
                      <a:avLst/>
                    </a:prstGeom>
                    <a:noFill/>
                    <a:ln>
                      <a:noFill/>
                    </a:ln>
                  </pic:spPr>
                </pic:pic>
              </a:graphicData>
            </a:graphic>
          </wp:inline>
        </w:drawing>
      </w:r>
    </w:p>
    <w:p>
      <w:pPr>
        <w:ind w:firstLine="0" w:firstLineChars="0"/>
      </w:pPr>
      <w:r>
        <w:drawing>
          <wp:inline distT="0" distB="0" distL="114300" distR="114300">
            <wp:extent cx="5273040" cy="2033270"/>
            <wp:effectExtent l="0" t="0" r="10160" b="11430"/>
            <wp:docPr id="9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6"/>
                    <pic:cNvPicPr>
                      <a:picLocks noChangeAspect="1"/>
                    </pic:cNvPicPr>
                  </pic:nvPicPr>
                  <pic:blipFill>
                    <a:blip r:embed="rId26" cstate="print"/>
                    <a:stretch>
                      <a:fillRect/>
                    </a:stretch>
                  </pic:blipFill>
                  <pic:spPr>
                    <a:xfrm>
                      <a:off x="0" y="0"/>
                      <a:ext cx="5273040" cy="2033270"/>
                    </a:xfrm>
                    <a:prstGeom prst="rect">
                      <a:avLst/>
                    </a:prstGeom>
                    <a:noFill/>
                    <a:ln>
                      <a:noFill/>
                    </a:ln>
                  </pic:spPr>
                </pic:pic>
              </a:graphicData>
            </a:graphic>
          </wp:inline>
        </w:drawing>
      </w:r>
    </w:p>
    <w:p>
      <w:pPr>
        <w:pStyle w:val="3"/>
        <w:numPr>
          <w:ilvl w:val="0"/>
          <w:numId w:val="0"/>
        </w:numPr>
        <w:adjustRightInd w:val="0"/>
        <w:snapToGrid w:val="0"/>
        <w:spacing w:before="360"/>
        <w:ind w:firstLine="643" w:firstLineChars="200"/>
      </w:pPr>
      <w:bookmarkStart w:id="6" w:name="_Toc60235259"/>
      <w:bookmarkStart w:id="7" w:name="_Toc60160414"/>
      <w:r>
        <w:rPr>
          <w:rFonts w:hint="eastAsia"/>
        </w:rPr>
        <w:t>五、场地变更</w:t>
      </w:r>
      <w:bookmarkEnd w:id="6"/>
      <w:bookmarkEnd w:id="7"/>
    </w:p>
    <w:p>
      <w:r>
        <w:rPr>
          <w:rFonts w:hint="eastAsia"/>
        </w:rPr>
        <w:t>1、点击“工程业务－发标－开评标场地变更”，如下图：</w:t>
      </w:r>
    </w:p>
    <w:p>
      <w:pPr>
        <w:ind w:firstLine="0" w:firstLineChars="0"/>
      </w:pPr>
      <w:r>
        <w:drawing>
          <wp:inline distT="0" distB="0" distL="114300" distR="114300">
            <wp:extent cx="5267960" cy="2306955"/>
            <wp:effectExtent l="0" t="0" r="2540" b="4445"/>
            <wp:docPr id="9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14"/>
                    <pic:cNvPicPr>
                      <a:picLocks noChangeAspect="1"/>
                    </pic:cNvPicPr>
                  </pic:nvPicPr>
                  <pic:blipFill>
                    <a:blip r:embed="rId27" cstate="print"/>
                    <a:stretch>
                      <a:fillRect/>
                    </a:stretch>
                  </pic:blipFill>
                  <pic:spPr>
                    <a:xfrm>
                      <a:off x="0" y="0"/>
                      <a:ext cx="5267960" cy="2306955"/>
                    </a:xfrm>
                    <a:prstGeom prst="rect">
                      <a:avLst/>
                    </a:prstGeom>
                    <a:noFill/>
                    <a:ln>
                      <a:noFill/>
                    </a:ln>
                  </pic:spPr>
                </pic:pic>
              </a:graphicData>
            </a:graphic>
          </wp:inline>
        </w:drawing>
      </w:r>
    </w:p>
    <w:p>
      <w:pPr>
        <w:numPr>
          <w:ilvl w:val="0"/>
          <w:numId w:val="3"/>
        </w:numPr>
      </w:pPr>
      <w:r>
        <w:rPr>
          <w:rFonts w:hint="eastAsia"/>
        </w:rPr>
        <w:t>点击“新增开评标场地变更”，挑选标段（包），确认选择。</w:t>
      </w:r>
    </w:p>
    <w:p>
      <w:pPr>
        <w:ind w:firstLine="0" w:firstLineChars="0"/>
      </w:pPr>
      <w:r>
        <w:drawing>
          <wp:inline distT="0" distB="0" distL="114300" distR="114300">
            <wp:extent cx="5274310" cy="2224405"/>
            <wp:effectExtent l="0" t="0" r="8890" b="10795"/>
            <wp:docPr id="9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15"/>
                    <pic:cNvPicPr>
                      <a:picLocks noChangeAspect="1"/>
                    </pic:cNvPicPr>
                  </pic:nvPicPr>
                  <pic:blipFill>
                    <a:blip r:embed="rId28" cstate="print"/>
                    <a:stretch>
                      <a:fillRect/>
                    </a:stretch>
                  </pic:blipFill>
                  <pic:spPr>
                    <a:xfrm>
                      <a:off x="0" y="0"/>
                      <a:ext cx="5274310" cy="2224405"/>
                    </a:xfrm>
                    <a:prstGeom prst="rect">
                      <a:avLst/>
                    </a:prstGeom>
                    <a:noFill/>
                    <a:ln>
                      <a:noFill/>
                    </a:ln>
                  </pic:spPr>
                </pic:pic>
              </a:graphicData>
            </a:graphic>
          </wp:inline>
        </w:drawing>
      </w:r>
    </w:p>
    <w:p>
      <w:pPr>
        <w:numPr>
          <w:ilvl w:val="0"/>
          <w:numId w:val="3"/>
        </w:numPr>
      </w:pPr>
      <w:r>
        <w:rPr>
          <w:rFonts w:hint="eastAsia"/>
        </w:rPr>
        <w:t>可对开评标室、开评标时间进行变更。</w:t>
      </w:r>
    </w:p>
    <w:p>
      <w:pPr>
        <w:ind w:firstLine="0" w:firstLineChars="0"/>
      </w:pPr>
      <w:r>
        <w:drawing>
          <wp:inline distT="0" distB="0" distL="114300" distR="114300">
            <wp:extent cx="5278120" cy="2251710"/>
            <wp:effectExtent l="0" t="0" r="5080" b="8890"/>
            <wp:docPr id="9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6"/>
                    <pic:cNvPicPr>
                      <a:picLocks noChangeAspect="1"/>
                    </pic:cNvPicPr>
                  </pic:nvPicPr>
                  <pic:blipFill>
                    <a:blip r:embed="rId29" cstate="print"/>
                    <a:stretch>
                      <a:fillRect/>
                    </a:stretch>
                  </pic:blipFill>
                  <pic:spPr>
                    <a:xfrm>
                      <a:off x="0" y="0"/>
                      <a:ext cx="5278120" cy="2251710"/>
                    </a:xfrm>
                    <a:prstGeom prst="rect">
                      <a:avLst/>
                    </a:prstGeom>
                    <a:noFill/>
                    <a:ln>
                      <a:noFill/>
                    </a:ln>
                  </pic:spPr>
                </pic:pic>
              </a:graphicData>
            </a:graphic>
          </wp:inline>
        </w:drawing>
      </w:r>
    </w:p>
    <w:p>
      <w:pPr>
        <w:numPr>
          <w:ilvl w:val="0"/>
          <w:numId w:val="3"/>
        </w:numPr>
      </w:pPr>
      <w:r>
        <w:rPr>
          <w:rFonts w:hint="eastAsia"/>
        </w:rPr>
        <w:t>输入签署意见，确认提交。</w:t>
      </w:r>
    </w:p>
    <w:sectPr>
      <w:pgSz w:w="11906" w:h="16838"/>
      <w:pgMar w:top="1440" w:right="1797" w:bottom="1440" w:left="1797" w:header="454" w:footer="680"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思源宋体 CN Light">
    <w:altName w:val="宋体"/>
    <w:panose1 w:val="00000000000000000000"/>
    <w:charset w:val="86"/>
    <w:family w:val="roman"/>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6697340"/>
      <w:docPartObj>
        <w:docPartGallery w:val="AutoText"/>
      </w:docPartObj>
    </w:sdtPr>
    <w:sdtContent>
      <w:p>
        <w:pPr>
          <w:pStyle w:val="27"/>
          <w:ind w:firstLine="360"/>
        </w:pPr>
        <w:r>
          <w:fldChar w:fldCharType="begin"/>
        </w:r>
        <w:r>
          <w:instrText xml:space="preserve">PAGE   \* MERGEFORMAT</w:instrText>
        </w:r>
        <w:r>
          <w:fldChar w:fldCharType="separate"/>
        </w:r>
        <w:r>
          <w:rPr>
            <w:lang w:val="zh-CN"/>
          </w:rPr>
          <w:t>8</w:t>
        </w:r>
        <w:r>
          <w:fldChar w:fldCharType="end"/>
        </w:r>
      </w:p>
    </w:sdtContent>
  </w:sdt>
  <w:p>
    <w:pPr>
      <w:pStyle w:val="27"/>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pPr>
    <w:r>
      <w:rPr>
        <w:rFonts w:hint="eastAsia" w:ascii="宋体" w:hAnsi="宋体"/>
      </w:rPr>
      <w:t>房屋建筑（市政公用）工程建设项目</w:t>
    </w:r>
    <w:r>
      <w:rPr>
        <w:rFonts w:hint="eastAsia" w:ascii="Cambria" w:hAnsi="Cambria"/>
      </w:rPr>
      <w:t xml:space="preserve">操作指南                                             </w:t>
    </w:r>
    <w:r>
      <w:rPr>
        <w:rFonts w:hint="eastAsia"/>
        <w:color w:val="000000"/>
      </w:rPr>
      <w:t xml:space="preserve">  </w:t>
    </w:r>
    <w:r>
      <w:t>V</w:t>
    </w:r>
    <w:r>
      <w:rPr>
        <w:rFonts w:hint="eastAsia"/>
      </w:rPr>
      <w:t>1</w:t>
    </w:r>
    <w:r>
      <w:t>.</w:t>
    </w:r>
    <w:r>
      <w:rPr>
        <w:rFonts w:hint="eastAsia"/>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49B70E"/>
    <w:multiLevelType w:val="singleLevel"/>
    <w:tmpl w:val="8B49B70E"/>
    <w:lvl w:ilvl="0" w:tentative="0">
      <w:start w:val="3"/>
      <w:numFmt w:val="decimal"/>
      <w:suff w:val="nothing"/>
      <w:lvlText w:val="%1、"/>
      <w:lvlJc w:val="left"/>
    </w:lvl>
  </w:abstractNum>
  <w:abstractNum w:abstractNumId="1">
    <w:nsid w:val="A0E8280D"/>
    <w:multiLevelType w:val="singleLevel"/>
    <w:tmpl w:val="A0E8280D"/>
    <w:lvl w:ilvl="0" w:tentative="0">
      <w:start w:val="2"/>
      <w:numFmt w:val="decimal"/>
      <w:suff w:val="nothing"/>
      <w:lvlText w:val="%1、"/>
      <w:lvlJc w:val="left"/>
    </w:lvl>
  </w:abstractNum>
  <w:abstractNum w:abstractNumId="2">
    <w:nsid w:val="6A2F4AB3"/>
    <w:multiLevelType w:val="multilevel"/>
    <w:tmpl w:val="6A2F4AB3"/>
    <w:lvl w:ilvl="0" w:tentative="0">
      <w:start w:val="1"/>
      <w:numFmt w:val="decimal"/>
      <w:pStyle w:val="3"/>
      <w:suff w:val="nothing"/>
      <w:lvlText w:val="%1、"/>
      <w:lvlJc w:val="left"/>
      <w:pPr>
        <w:ind w:left="0" w:firstLine="0"/>
      </w:pPr>
      <w:rPr>
        <w:rFonts w:ascii="Times New Roman" w:hAnsi="Times New Roman" w:eastAsia="宋体"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pStyle w:val="4"/>
      <w:isLgl/>
      <w:suff w:val="nothing"/>
      <w:lvlText w:val="%1.%2、"/>
      <w:lvlJc w:val="left"/>
      <w:pPr>
        <w:ind w:left="0" w:firstLine="0"/>
      </w:pPr>
      <w:rPr>
        <w:rFonts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tentative="0">
      <w:start w:val="1"/>
      <w:numFmt w:val="decimal"/>
      <w:pStyle w:val="5"/>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6"/>
      <w:isLgl/>
      <w:suff w:val="nothing"/>
      <w:lvlText w:val="%1.%2.%3.%4、"/>
      <w:lvlJc w:val="left"/>
      <w:pPr>
        <w:ind w:left="0" w:firstLine="0"/>
      </w:pPr>
      <w:rPr>
        <w:rFonts w:hint="default" w:ascii="Times New Roman" w:hAnsi="Times New Roman"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val="1"/>
  <w:bordersDoNotSurroundFooter w:val="1"/>
  <w:documentProtection w:enforcement="0"/>
  <w:defaultTabStop w:val="5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7A"/>
    <w:rsid w:val="000023F6"/>
    <w:rsid w:val="0000651D"/>
    <w:rsid w:val="00012860"/>
    <w:rsid w:val="0002112B"/>
    <w:rsid w:val="00022DAE"/>
    <w:rsid w:val="000243CF"/>
    <w:rsid w:val="000605AC"/>
    <w:rsid w:val="00065A7C"/>
    <w:rsid w:val="00077301"/>
    <w:rsid w:val="00087262"/>
    <w:rsid w:val="000A1499"/>
    <w:rsid w:val="000B157B"/>
    <w:rsid w:val="000B4A1E"/>
    <w:rsid w:val="000C3182"/>
    <w:rsid w:val="000F05E7"/>
    <w:rsid w:val="000F1643"/>
    <w:rsid w:val="000F6D46"/>
    <w:rsid w:val="00122C2D"/>
    <w:rsid w:val="001274AD"/>
    <w:rsid w:val="00130AD1"/>
    <w:rsid w:val="00132EFA"/>
    <w:rsid w:val="00157539"/>
    <w:rsid w:val="0017311F"/>
    <w:rsid w:val="001752F8"/>
    <w:rsid w:val="00181D2A"/>
    <w:rsid w:val="001855C3"/>
    <w:rsid w:val="001966E9"/>
    <w:rsid w:val="00197092"/>
    <w:rsid w:val="001A40E2"/>
    <w:rsid w:val="001A4BA1"/>
    <w:rsid w:val="001A750C"/>
    <w:rsid w:val="001D1C7D"/>
    <w:rsid w:val="001E6B8A"/>
    <w:rsid w:val="001F5ABA"/>
    <w:rsid w:val="002026A9"/>
    <w:rsid w:val="00205591"/>
    <w:rsid w:val="002062F7"/>
    <w:rsid w:val="00207807"/>
    <w:rsid w:val="00213C7C"/>
    <w:rsid w:val="00226450"/>
    <w:rsid w:val="002570C2"/>
    <w:rsid w:val="00261022"/>
    <w:rsid w:val="0026522B"/>
    <w:rsid w:val="00274441"/>
    <w:rsid w:val="002B22CE"/>
    <w:rsid w:val="002B2828"/>
    <w:rsid w:val="002B3CF7"/>
    <w:rsid w:val="002B72F4"/>
    <w:rsid w:val="002D3498"/>
    <w:rsid w:val="002D6C87"/>
    <w:rsid w:val="002E0190"/>
    <w:rsid w:val="00303EC4"/>
    <w:rsid w:val="00330D62"/>
    <w:rsid w:val="00330E76"/>
    <w:rsid w:val="00335E6A"/>
    <w:rsid w:val="00340393"/>
    <w:rsid w:val="003476F6"/>
    <w:rsid w:val="003510DB"/>
    <w:rsid w:val="0035539D"/>
    <w:rsid w:val="0036405E"/>
    <w:rsid w:val="00364FA6"/>
    <w:rsid w:val="00366E3A"/>
    <w:rsid w:val="00376622"/>
    <w:rsid w:val="00383C3D"/>
    <w:rsid w:val="0038752C"/>
    <w:rsid w:val="003B2917"/>
    <w:rsid w:val="003B5114"/>
    <w:rsid w:val="003C444D"/>
    <w:rsid w:val="003D2362"/>
    <w:rsid w:val="003D676A"/>
    <w:rsid w:val="003E33CF"/>
    <w:rsid w:val="004165F3"/>
    <w:rsid w:val="00424D07"/>
    <w:rsid w:val="00430169"/>
    <w:rsid w:val="0043020F"/>
    <w:rsid w:val="0043739F"/>
    <w:rsid w:val="00447F6B"/>
    <w:rsid w:val="00454D70"/>
    <w:rsid w:val="00490AAA"/>
    <w:rsid w:val="004D055F"/>
    <w:rsid w:val="004E268D"/>
    <w:rsid w:val="004E382E"/>
    <w:rsid w:val="004E5903"/>
    <w:rsid w:val="004E5A8D"/>
    <w:rsid w:val="004E68CE"/>
    <w:rsid w:val="004F307E"/>
    <w:rsid w:val="00521AD4"/>
    <w:rsid w:val="005248C7"/>
    <w:rsid w:val="00533A22"/>
    <w:rsid w:val="00546587"/>
    <w:rsid w:val="005548C9"/>
    <w:rsid w:val="0056466E"/>
    <w:rsid w:val="005809A2"/>
    <w:rsid w:val="00590C82"/>
    <w:rsid w:val="005A3D7A"/>
    <w:rsid w:val="005A678F"/>
    <w:rsid w:val="005B1271"/>
    <w:rsid w:val="005B58E3"/>
    <w:rsid w:val="005D08DA"/>
    <w:rsid w:val="005E4FC3"/>
    <w:rsid w:val="00621B56"/>
    <w:rsid w:val="006247D8"/>
    <w:rsid w:val="006327A2"/>
    <w:rsid w:val="006335EC"/>
    <w:rsid w:val="00643BE3"/>
    <w:rsid w:val="00651B79"/>
    <w:rsid w:val="00653193"/>
    <w:rsid w:val="0065730F"/>
    <w:rsid w:val="00660D37"/>
    <w:rsid w:val="00661089"/>
    <w:rsid w:val="006672DE"/>
    <w:rsid w:val="0067292A"/>
    <w:rsid w:val="00682122"/>
    <w:rsid w:val="00682699"/>
    <w:rsid w:val="006879A2"/>
    <w:rsid w:val="0069141A"/>
    <w:rsid w:val="006C2BDA"/>
    <w:rsid w:val="006E10E6"/>
    <w:rsid w:val="006E5EAE"/>
    <w:rsid w:val="006F0D75"/>
    <w:rsid w:val="006F225E"/>
    <w:rsid w:val="006F67A0"/>
    <w:rsid w:val="00712D5B"/>
    <w:rsid w:val="00715643"/>
    <w:rsid w:val="0073596C"/>
    <w:rsid w:val="0073763B"/>
    <w:rsid w:val="00737D42"/>
    <w:rsid w:val="0076632E"/>
    <w:rsid w:val="00794B09"/>
    <w:rsid w:val="007C08DC"/>
    <w:rsid w:val="007D1958"/>
    <w:rsid w:val="007D4795"/>
    <w:rsid w:val="007F3026"/>
    <w:rsid w:val="007F4C2B"/>
    <w:rsid w:val="00800ABA"/>
    <w:rsid w:val="00807681"/>
    <w:rsid w:val="008354A5"/>
    <w:rsid w:val="00842D60"/>
    <w:rsid w:val="00855EF2"/>
    <w:rsid w:val="00865043"/>
    <w:rsid w:val="00874E6F"/>
    <w:rsid w:val="00882D03"/>
    <w:rsid w:val="00884580"/>
    <w:rsid w:val="00885001"/>
    <w:rsid w:val="008A0FDA"/>
    <w:rsid w:val="008A5A57"/>
    <w:rsid w:val="008B26BA"/>
    <w:rsid w:val="008B398E"/>
    <w:rsid w:val="008B5870"/>
    <w:rsid w:val="008C6D33"/>
    <w:rsid w:val="008C6FD7"/>
    <w:rsid w:val="008D0142"/>
    <w:rsid w:val="008D51EA"/>
    <w:rsid w:val="008E0616"/>
    <w:rsid w:val="008F0F96"/>
    <w:rsid w:val="008F218D"/>
    <w:rsid w:val="00906EAA"/>
    <w:rsid w:val="00907D98"/>
    <w:rsid w:val="00920814"/>
    <w:rsid w:val="00952749"/>
    <w:rsid w:val="009532F5"/>
    <w:rsid w:val="00954A2F"/>
    <w:rsid w:val="00955BED"/>
    <w:rsid w:val="00983865"/>
    <w:rsid w:val="00984BF1"/>
    <w:rsid w:val="00987392"/>
    <w:rsid w:val="00992457"/>
    <w:rsid w:val="009A6E50"/>
    <w:rsid w:val="009A7C78"/>
    <w:rsid w:val="009B1A43"/>
    <w:rsid w:val="009D790C"/>
    <w:rsid w:val="009E4A22"/>
    <w:rsid w:val="009F70C5"/>
    <w:rsid w:val="00A15814"/>
    <w:rsid w:val="00A367B9"/>
    <w:rsid w:val="00A46C32"/>
    <w:rsid w:val="00A90E29"/>
    <w:rsid w:val="00A95D78"/>
    <w:rsid w:val="00AC06A6"/>
    <w:rsid w:val="00AD13DF"/>
    <w:rsid w:val="00AD1C01"/>
    <w:rsid w:val="00AD2F83"/>
    <w:rsid w:val="00AD76A5"/>
    <w:rsid w:val="00B01303"/>
    <w:rsid w:val="00B06ABD"/>
    <w:rsid w:val="00B10568"/>
    <w:rsid w:val="00B308A2"/>
    <w:rsid w:val="00B33133"/>
    <w:rsid w:val="00B36819"/>
    <w:rsid w:val="00B3685E"/>
    <w:rsid w:val="00B40F8C"/>
    <w:rsid w:val="00B4655B"/>
    <w:rsid w:val="00B50891"/>
    <w:rsid w:val="00B52EE4"/>
    <w:rsid w:val="00B60EA9"/>
    <w:rsid w:val="00B64CC5"/>
    <w:rsid w:val="00B70F62"/>
    <w:rsid w:val="00B7235D"/>
    <w:rsid w:val="00B94487"/>
    <w:rsid w:val="00BA57B7"/>
    <w:rsid w:val="00BB4682"/>
    <w:rsid w:val="00BB5703"/>
    <w:rsid w:val="00BC56F7"/>
    <w:rsid w:val="00BE6DB6"/>
    <w:rsid w:val="00C02FC7"/>
    <w:rsid w:val="00C031C3"/>
    <w:rsid w:val="00C1295F"/>
    <w:rsid w:val="00C1306A"/>
    <w:rsid w:val="00C14BAD"/>
    <w:rsid w:val="00C1587A"/>
    <w:rsid w:val="00C27726"/>
    <w:rsid w:val="00C53761"/>
    <w:rsid w:val="00C721E1"/>
    <w:rsid w:val="00C74D76"/>
    <w:rsid w:val="00CB4981"/>
    <w:rsid w:val="00CB7AD6"/>
    <w:rsid w:val="00CC12B2"/>
    <w:rsid w:val="00CE39D0"/>
    <w:rsid w:val="00CE70D7"/>
    <w:rsid w:val="00CF04D6"/>
    <w:rsid w:val="00D042FE"/>
    <w:rsid w:val="00D13C0F"/>
    <w:rsid w:val="00D405ED"/>
    <w:rsid w:val="00D61A87"/>
    <w:rsid w:val="00D81678"/>
    <w:rsid w:val="00D84642"/>
    <w:rsid w:val="00D84D9B"/>
    <w:rsid w:val="00D875BF"/>
    <w:rsid w:val="00D9175C"/>
    <w:rsid w:val="00D9267D"/>
    <w:rsid w:val="00D94F8B"/>
    <w:rsid w:val="00D9743E"/>
    <w:rsid w:val="00DA6768"/>
    <w:rsid w:val="00DB0D70"/>
    <w:rsid w:val="00DB6AC6"/>
    <w:rsid w:val="00DC1D9F"/>
    <w:rsid w:val="00DD2821"/>
    <w:rsid w:val="00DD4992"/>
    <w:rsid w:val="00DE36CE"/>
    <w:rsid w:val="00E010F1"/>
    <w:rsid w:val="00E317AC"/>
    <w:rsid w:val="00E35A67"/>
    <w:rsid w:val="00E51036"/>
    <w:rsid w:val="00E71F55"/>
    <w:rsid w:val="00E81D65"/>
    <w:rsid w:val="00E85A41"/>
    <w:rsid w:val="00E9174F"/>
    <w:rsid w:val="00E9694D"/>
    <w:rsid w:val="00EC39EE"/>
    <w:rsid w:val="00EC5277"/>
    <w:rsid w:val="00ED5B82"/>
    <w:rsid w:val="00EF4BD3"/>
    <w:rsid w:val="00F518CA"/>
    <w:rsid w:val="00F54DDD"/>
    <w:rsid w:val="00F5573D"/>
    <w:rsid w:val="00F60A1C"/>
    <w:rsid w:val="00F7719D"/>
    <w:rsid w:val="00F92442"/>
    <w:rsid w:val="00F9564F"/>
    <w:rsid w:val="00FA09A3"/>
    <w:rsid w:val="00FB0EC1"/>
    <w:rsid w:val="00FE70C8"/>
    <w:rsid w:val="00FF0E8E"/>
    <w:rsid w:val="00FF48A5"/>
    <w:rsid w:val="01821F62"/>
    <w:rsid w:val="01B857C3"/>
    <w:rsid w:val="07DE2202"/>
    <w:rsid w:val="081F54C3"/>
    <w:rsid w:val="089937E9"/>
    <w:rsid w:val="09F22D40"/>
    <w:rsid w:val="0AE201BC"/>
    <w:rsid w:val="0B004CA6"/>
    <w:rsid w:val="0B771533"/>
    <w:rsid w:val="0B80525F"/>
    <w:rsid w:val="0C9972DD"/>
    <w:rsid w:val="0D9444D1"/>
    <w:rsid w:val="0E5F6266"/>
    <w:rsid w:val="0F0E2E8D"/>
    <w:rsid w:val="0F115406"/>
    <w:rsid w:val="0F4808E8"/>
    <w:rsid w:val="101F5E07"/>
    <w:rsid w:val="109A3F5B"/>
    <w:rsid w:val="11577CCB"/>
    <w:rsid w:val="127828B9"/>
    <w:rsid w:val="16101DAE"/>
    <w:rsid w:val="161C2500"/>
    <w:rsid w:val="16E75FEF"/>
    <w:rsid w:val="17661520"/>
    <w:rsid w:val="193E0C1E"/>
    <w:rsid w:val="1A354005"/>
    <w:rsid w:val="1AC86A26"/>
    <w:rsid w:val="1E52388C"/>
    <w:rsid w:val="242A1B36"/>
    <w:rsid w:val="24995246"/>
    <w:rsid w:val="252D1F31"/>
    <w:rsid w:val="263156B4"/>
    <w:rsid w:val="26A52AC4"/>
    <w:rsid w:val="27A90AF0"/>
    <w:rsid w:val="28741147"/>
    <w:rsid w:val="28A33B2E"/>
    <w:rsid w:val="2A2C6D13"/>
    <w:rsid w:val="2DAC521D"/>
    <w:rsid w:val="2E37087C"/>
    <w:rsid w:val="2E650E70"/>
    <w:rsid w:val="30081630"/>
    <w:rsid w:val="30B828FB"/>
    <w:rsid w:val="30C9323F"/>
    <w:rsid w:val="31070429"/>
    <w:rsid w:val="310A7E39"/>
    <w:rsid w:val="317046BD"/>
    <w:rsid w:val="317F37AA"/>
    <w:rsid w:val="32421DA5"/>
    <w:rsid w:val="33AE4534"/>
    <w:rsid w:val="36856527"/>
    <w:rsid w:val="36DD5917"/>
    <w:rsid w:val="37C933EE"/>
    <w:rsid w:val="39FE4E57"/>
    <w:rsid w:val="39FF1846"/>
    <w:rsid w:val="3C552159"/>
    <w:rsid w:val="3E6257DF"/>
    <w:rsid w:val="40600376"/>
    <w:rsid w:val="40E727EF"/>
    <w:rsid w:val="411824BE"/>
    <w:rsid w:val="42AE59BA"/>
    <w:rsid w:val="4535355D"/>
    <w:rsid w:val="45355926"/>
    <w:rsid w:val="458814A9"/>
    <w:rsid w:val="46C3797B"/>
    <w:rsid w:val="476F6DF9"/>
    <w:rsid w:val="478D4361"/>
    <w:rsid w:val="490E72D3"/>
    <w:rsid w:val="496201A4"/>
    <w:rsid w:val="4C271BE7"/>
    <w:rsid w:val="4D231478"/>
    <w:rsid w:val="4D4037A3"/>
    <w:rsid w:val="4EA10A1C"/>
    <w:rsid w:val="4FA95B7D"/>
    <w:rsid w:val="50AD7229"/>
    <w:rsid w:val="50FE5C40"/>
    <w:rsid w:val="54B70485"/>
    <w:rsid w:val="56316068"/>
    <w:rsid w:val="57363591"/>
    <w:rsid w:val="57673180"/>
    <w:rsid w:val="585904C5"/>
    <w:rsid w:val="589C7067"/>
    <w:rsid w:val="58A927FC"/>
    <w:rsid w:val="59D87529"/>
    <w:rsid w:val="5A4F45E9"/>
    <w:rsid w:val="5A924181"/>
    <w:rsid w:val="5B066F5D"/>
    <w:rsid w:val="5B7C1991"/>
    <w:rsid w:val="5D500231"/>
    <w:rsid w:val="5DC66EFC"/>
    <w:rsid w:val="5E114F2F"/>
    <w:rsid w:val="5E625DCF"/>
    <w:rsid w:val="5F112609"/>
    <w:rsid w:val="5F7E1DE0"/>
    <w:rsid w:val="615A4BF6"/>
    <w:rsid w:val="64800465"/>
    <w:rsid w:val="66DA6D98"/>
    <w:rsid w:val="67F05A5A"/>
    <w:rsid w:val="69772982"/>
    <w:rsid w:val="69A01B3D"/>
    <w:rsid w:val="6A5760BC"/>
    <w:rsid w:val="6B6C2446"/>
    <w:rsid w:val="6C673115"/>
    <w:rsid w:val="6D4748A9"/>
    <w:rsid w:val="6F315C95"/>
    <w:rsid w:val="6FB27CCE"/>
    <w:rsid w:val="706B024D"/>
    <w:rsid w:val="70A00B6F"/>
    <w:rsid w:val="70F743FD"/>
    <w:rsid w:val="71007271"/>
    <w:rsid w:val="74263FF7"/>
    <w:rsid w:val="767E2030"/>
    <w:rsid w:val="77917199"/>
    <w:rsid w:val="7AFC2A0E"/>
    <w:rsid w:val="7CAA6CE5"/>
    <w:rsid w:val="7CFD7796"/>
    <w:rsid w:val="7E1F1214"/>
    <w:rsid w:val="7EDF03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qFormat="1"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link w:val="110"/>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link w:val="104"/>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link w:val="105"/>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4"/>
    <w:qFormat/>
    <w:uiPriority w:val="0"/>
    <w:pPr>
      <w:keepNext/>
      <w:keepLines/>
      <w:numPr>
        <w:ilvl w:val="3"/>
        <w:numId w:val="1"/>
      </w:numPr>
      <w:tabs>
        <w:tab w:val="left" w:pos="504"/>
      </w:tabs>
      <w:spacing w:before="120" w:after="120"/>
      <w:ind w:firstLineChars="0"/>
      <w:outlineLvl w:val="3"/>
    </w:pPr>
    <w:rPr>
      <w:rFonts w:hAnsi="Arial"/>
      <w:b/>
      <w:bCs/>
      <w:sz w:val="24"/>
      <w:szCs w:val="28"/>
    </w:rPr>
  </w:style>
  <w:style w:type="paragraph" w:styleId="7">
    <w:name w:val="heading 5"/>
    <w:basedOn w:val="1"/>
    <w:next w:val="1"/>
    <w:link w:val="93"/>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95"/>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97"/>
    <w:qFormat/>
    <w:uiPriority w:val="0"/>
    <w:pPr>
      <w:tabs>
        <w:tab w:val="left" w:pos="1800"/>
        <w:tab w:val="clear" w:pos="1440"/>
      </w:tabs>
      <w:outlineLvl w:val="6"/>
    </w:pPr>
  </w:style>
  <w:style w:type="paragraph" w:styleId="10">
    <w:name w:val="heading 8"/>
    <w:basedOn w:val="9"/>
    <w:next w:val="1"/>
    <w:link w:val="98"/>
    <w:qFormat/>
    <w:uiPriority w:val="0"/>
    <w:pPr>
      <w:outlineLvl w:val="7"/>
    </w:pPr>
  </w:style>
  <w:style w:type="paragraph" w:styleId="11">
    <w:name w:val="heading 9"/>
    <w:basedOn w:val="10"/>
    <w:next w:val="1"/>
    <w:link w:val="100"/>
    <w:qFormat/>
    <w:uiPriority w:val="0"/>
    <w:pPr>
      <w:tabs>
        <w:tab w:val="left" w:pos="2160"/>
        <w:tab w:val="clear" w:pos="1800"/>
      </w:tabs>
      <w:outlineLvl w:val="8"/>
    </w:pPr>
  </w:style>
  <w:style w:type="character" w:default="1" w:styleId="42">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6"/>
    <w:qFormat/>
    <w:uiPriority w:val="0"/>
    <w:rPr>
      <w:rFonts w:ascii="宋体"/>
      <w:sz w:val="18"/>
      <w:szCs w:val="18"/>
    </w:rPr>
  </w:style>
  <w:style w:type="paragraph" w:styleId="16">
    <w:name w:val="annotation text"/>
    <w:basedOn w:val="1"/>
    <w:link w:val="108"/>
    <w:qFormat/>
    <w:uiPriority w:val="0"/>
  </w:style>
  <w:style w:type="paragraph" w:styleId="17">
    <w:name w:val="Body Text 3"/>
    <w:basedOn w:val="1"/>
    <w:link w:val="118"/>
    <w:qFormat/>
    <w:uiPriority w:val="0"/>
    <w:pPr>
      <w:spacing w:after="120"/>
    </w:pPr>
    <w:rPr>
      <w:sz w:val="16"/>
      <w:szCs w:val="16"/>
    </w:rPr>
  </w:style>
  <w:style w:type="paragraph" w:styleId="18">
    <w:name w:val="Body Text"/>
    <w:basedOn w:val="1"/>
    <w:link w:val="112"/>
    <w:qFormat/>
    <w:uiPriority w:val="0"/>
    <w:pPr>
      <w:spacing w:after="120"/>
    </w:pPr>
  </w:style>
  <w:style w:type="paragraph" w:styleId="19">
    <w:name w:val="Body Text Indent"/>
    <w:basedOn w:val="1"/>
    <w:link w:val="102"/>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3"/>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1"/>
    <w:qFormat/>
    <w:uiPriority w:val="0"/>
    <w:pPr>
      <w:ind w:left="100" w:leftChars="2500"/>
    </w:pPr>
  </w:style>
  <w:style w:type="paragraph" w:styleId="25">
    <w:name w:val="Body Text Indent 2"/>
    <w:basedOn w:val="1"/>
    <w:link w:val="99"/>
    <w:qFormat/>
    <w:uiPriority w:val="0"/>
    <w:pPr>
      <w:spacing w:after="120" w:line="480" w:lineRule="auto"/>
      <w:ind w:left="420" w:leftChars="200"/>
    </w:pPr>
  </w:style>
  <w:style w:type="paragraph" w:styleId="26">
    <w:name w:val="Balloon Text"/>
    <w:basedOn w:val="1"/>
    <w:link w:val="107"/>
    <w:qFormat/>
    <w:uiPriority w:val="0"/>
    <w:rPr>
      <w:sz w:val="18"/>
      <w:szCs w:val="18"/>
    </w:rPr>
  </w:style>
  <w:style w:type="paragraph" w:styleId="27">
    <w:name w:val="footer"/>
    <w:basedOn w:val="1"/>
    <w:link w:val="106"/>
    <w:qFormat/>
    <w:uiPriority w:val="99"/>
    <w:pPr>
      <w:tabs>
        <w:tab w:val="center" w:pos="4153"/>
        <w:tab w:val="right" w:pos="8306"/>
      </w:tabs>
      <w:snapToGrid w:val="0"/>
      <w:jc w:val="center"/>
    </w:pPr>
    <w:rPr>
      <w:sz w:val="18"/>
      <w:szCs w:val="18"/>
    </w:rPr>
  </w:style>
  <w:style w:type="paragraph" w:styleId="28">
    <w:name w:val="header"/>
    <w:basedOn w:val="1"/>
    <w:link w:val="94"/>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5"/>
    <w:qFormat/>
    <w:uiPriority w:val="0"/>
    <w:pPr>
      <w:spacing w:after="120"/>
      <w:ind w:left="420" w:leftChars="200"/>
    </w:pPr>
    <w:rPr>
      <w:sz w:val="16"/>
      <w:szCs w:val="16"/>
    </w:rPr>
  </w:style>
  <w:style w:type="paragraph" w:styleId="35">
    <w:name w:val="toc 2"/>
    <w:basedOn w:val="1"/>
    <w:next w:val="1"/>
    <w:qFormat/>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19"/>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6"/>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Body Text First Indent"/>
    <w:basedOn w:val="18"/>
    <w:link w:val="111"/>
    <w:qFormat/>
    <w:uiPriority w:val="0"/>
    <w:pPr>
      <w:ind w:firstLine="100" w:firstLineChars="100"/>
    </w:pPr>
  </w:style>
  <w:style w:type="character" w:styleId="43">
    <w:name w:val="Strong"/>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Emphasis"/>
    <w:basedOn w:val="42"/>
    <w:qFormat/>
    <w:uiPriority w:val="20"/>
    <w:rPr>
      <w:b/>
    </w:rPr>
  </w:style>
  <w:style w:type="character" w:styleId="47">
    <w:name w:val="HTML Definition"/>
    <w:basedOn w:val="42"/>
    <w:semiHidden/>
    <w:unhideWhenUsed/>
    <w:qFormat/>
    <w:uiPriority w:val="0"/>
  </w:style>
  <w:style w:type="character" w:styleId="48">
    <w:name w:val="HTML Typewriter"/>
    <w:basedOn w:val="42"/>
    <w:semiHidden/>
    <w:unhideWhenUsed/>
    <w:uiPriority w:val="0"/>
    <w:rPr>
      <w:rFonts w:ascii="monospace" w:hAnsi="monospace" w:eastAsia="monospace" w:cs="monospace"/>
      <w:sz w:val="20"/>
    </w:rPr>
  </w:style>
  <w:style w:type="character" w:styleId="49">
    <w:name w:val="HTML Acronym"/>
    <w:basedOn w:val="42"/>
    <w:semiHidden/>
    <w:unhideWhenUsed/>
    <w:uiPriority w:val="0"/>
  </w:style>
  <w:style w:type="character" w:styleId="50">
    <w:name w:val="HTML Variable"/>
    <w:basedOn w:val="42"/>
    <w:semiHidden/>
    <w:unhideWhenUsed/>
    <w:uiPriority w:val="0"/>
  </w:style>
  <w:style w:type="character" w:styleId="51">
    <w:name w:val="Hyperlink"/>
    <w:qFormat/>
    <w:uiPriority w:val="99"/>
    <w:rPr>
      <w:color w:val="0000FF"/>
      <w:u w:val="single"/>
    </w:rPr>
  </w:style>
  <w:style w:type="character" w:styleId="52">
    <w:name w:val="HTML Code"/>
    <w:basedOn w:val="42"/>
    <w:semiHidden/>
    <w:unhideWhenUsed/>
    <w:uiPriority w:val="0"/>
    <w:rPr>
      <w:rFonts w:hint="default" w:ascii="monospace" w:hAnsi="monospace" w:eastAsia="monospace" w:cs="monospace"/>
      <w:sz w:val="20"/>
    </w:rPr>
  </w:style>
  <w:style w:type="character" w:styleId="53">
    <w:name w:val="annotation reference"/>
    <w:qFormat/>
    <w:uiPriority w:val="0"/>
    <w:rPr>
      <w:sz w:val="21"/>
      <w:szCs w:val="21"/>
    </w:rPr>
  </w:style>
  <w:style w:type="character" w:styleId="54">
    <w:name w:val="HTML Cite"/>
    <w:basedOn w:val="42"/>
    <w:semiHidden/>
    <w:unhideWhenUsed/>
    <w:uiPriority w:val="0"/>
  </w:style>
  <w:style w:type="character" w:styleId="55">
    <w:name w:val="HTML Keyboard"/>
    <w:basedOn w:val="42"/>
    <w:semiHidden/>
    <w:unhideWhenUsed/>
    <w:uiPriority w:val="0"/>
    <w:rPr>
      <w:rFonts w:hint="default" w:ascii="monospace" w:hAnsi="monospace" w:eastAsia="monospace" w:cs="monospace"/>
      <w:sz w:val="20"/>
    </w:rPr>
  </w:style>
  <w:style w:type="character" w:styleId="56">
    <w:name w:val="HTML Sample"/>
    <w:basedOn w:val="42"/>
    <w:semiHidden/>
    <w:unhideWhenUsed/>
    <w:uiPriority w:val="0"/>
    <w:rPr>
      <w:rFonts w:hint="default" w:ascii="monospace" w:hAnsi="monospace" w:eastAsia="monospace" w:cs="monospace"/>
    </w:rPr>
  </w:style>
  <w:style w:type="paragraph" w:customStyle="1" w:styleId="57">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8">
    <w:name w:val="正文无缩进"/>
    <w:basedOn w:val="1"/>
    <w:qFormat/>
    <w:uiPriority w:val="0"/>
    <w:pPr>
      <w:spacing w:beforeLines="50" w:line="300" w:lineRule="auto"/>
      <w:jc w:val="center"/>
    </w:pPr>
    <w:rPr>
      <w:rFonts w:ascii="宋体" w:hAnsi="宋体"/>
      <w:sz w:val="24"/>
    </w:rPr>
  </w:style>
  <w:style w:type="paragraph" w:customStyle="1" w:styleId="5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Char Char1"/>
    <w:basedOn w:val="1"/>
    <w:qFormat/>
    <w:uiPriority w:val="0"/>
    <w:pPr>
      <w:widowControl/>
      <w:spacing w:after="160" w:line="240" w:lineRule="exact"/>
    </w:pPr>
    <w:rPr>
      <w:rFonts w:ascii="Verdana" w:hAnsi="Verdana"/>
      <w:kern w:val="0"/>
      <w:sz w:val="20"/>
      <w:lang w:eastAsia="en-US"/>
    </w:rPr>
  </w:style>
  <w:style w:type="paragraph" w:customStyle="1" w:styleId="61">
    <w:name w:val="4"/>
    <w:basedOn w:val="1"/>
    <w:qFormat/>
    <w:uiPriority w:val="0"/>
    <w:pPr>
      <w:spacing w:line="300" w:lineRule="auto"/>
      <w:ind w:firstLine="480"/>
    </w:pPr>
    <w:rPr>
      <w:sz w:val="24"/>
      <w:szCs w:val="20"/>
    </w:rPr>
  </w:style>
  <w:style w:type="paragraph" w:customStyle="1" w:styleId="62">
    <w:name w:val="TOC 标题1"/>
    <w:basedOn w:val="3"/>
    <w:next w:val="1"/>
    <w:qFormat/>
    <w:uiPriority w:val="39"/>
    <w:pPr>
      <w:widowControl/>
      <w:spacing w:before="480" w:after="0" w:line="276" w:lineRule="auto"/>
      <w:outlineLvl w:val="9"/>
    </w:pPr>
    <w:rPr>
      <w:rFonts w:ascii="Cambria" w:hAnsi="Cambria"/>
      <w:color w:val="365F91"/>
      <w:kern w:val="0"/>
      <w:sz w:val="28"/>
    </w:rPr>
  </w:style>
  <w:style w:type="paragraph" w:customStyle="1" w:styleId="63">
    <w:name w:val="Char"/>
    <w:basedOn w:val="1"/>
    <w:qFormat/>
    <w:uiPriority w:val="0"/>
    <w:pPr>
      <w:tabs>
        <w:tab w:val="left" w:pos="360"/>
      </w:tabs>
    </w:pPr>
    <w:rPr>
      <w:sz w:val="24"/>
    </w:rPr>
  </w:style>
  <w:style w:type="paragraph" w:customStyle="1" w:styleId="64">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5">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6">
    <w:name w:val="Indent Normal"/>
    <w:basedOn w:val="1"/>
    <w:qFormat/>
    <w:uiPriority w:val="0"/>
    <w:pPr>
      <w:ind w:firstLine="150" w:firstLineChars="150"/>
    </w:pPr>
    <w:rPr>
      <w:sz w:val="24"/>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38"/>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7"/>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3"/>
    <w:qFormat/>
    <w:uiPriority w:val="0"/>
    <w:pPr>
      <w:spacing w:before="120" w:after="120"/>
      <w:outlineLvl w:val="1"/>
    </w:pPr>
    <w:rPr>
      <w:b/>
      <w:sz w:val="30"/>
    </w:rPr>
  </w:style>
  <w:style w:type="paragraph" w:customStyle="1" w:styleId="78">
    <w:name w:val="样式3"/>
    <w:basedOn w:val="28"/>
    <w:link w:val="124"/>
    <w:qFormat/>
    <w:uiPriority w:val="0"/>
    <w:pPr>
      <w:ind w:firstLine="360"/>
    </w:pPr>
  </w:style>
  <w:style w:type="paragraph" w:customStyle="1" w:styleId="79">
    <w:name w:val="样式4"/>
    <w:basedOn w:val="78"/>
    <w:link w:val="125"/>
    <w:qFormat/>
    <w:uiPriority w:val="0"/>
  </w:style>
  <w:style w:type="paragraph" w:customStyle="1" w:styleId="80">
    <w:name w:val="样式5"/>
    <w:basedOn w:val="28"/>
    <w:link w:val="126"/>
    <w:qFormat/>
    <w:uiPriority w:val="0"/>
    <w:pPr>
      <w:ind w:firstLine="360"/>
    </w:pPr>
  </w:style>
  <w:style w:type="paragraph" w:customStyle="1" w:styleId="81">
    <w:name w:val="样式6"/>
    <w:basedOn w:val="28"/>
    <w:link w:val="127"/>
    <w:qFormat/>
    <w:uiPriority w:val="0"/>
    <w:pPr>
      <w:ind w:firstLine="360"/>
    </w:pPr>
  </w:style>
  <w:style w:type="paragraph" w:customStyle="1" w:styleId="82">
    <w:name w:val="样式7"/>
    <w:basedOn w:val="5"/>
    <w:link w:val="128"/>
    <w:qFormat/>
    <w:uiPriority w:val="0"/>
  </w:style>
  <w:style w:type="paragraph" w:customStyle="1" w:styleId="83">
    <w:name w:val="样式8"/>
    <w:basedOn w:val="27"/>
    <w:link w:val="129"/>
    <w:qFormat/>
    <w:uiPriority w:val="0"/>
    <w:pPr>
      <w:ind w:firstLine="0" w:firstLineChars="0"/>
      <w:jc w:val="left"/>
    </w:pPr>
  </w:style>
  <w:style w:type="paragraph" w:customStyle="1" w:styleId="84">
    <w:name w:val="样式9"/>
    <w:basedOn w:val="83"/>
    <w:link w:val="130"/>
    <w:qFormat/>
    <w:uiPriority w:val="0"/>
    <w:pPr>
      <w:jc w:val="center"/>
    </w:pPr>
  </w:style>
  <w:style w:type="paragraph" w:customStyle="1" w:styleId="85">
    <w:name w:val="样式10"/>
    <w:basedOn w:val="84"/>
    <w:link w:val="131"/>
    <w:qFormat/>
    <w:uiPriority w:val="0"/>
    <w:pPr>
      <w:pBdr>
        <w:top w:val="single" w:color="76923C" w:sz="24" w:space="1"/>
      </w:pBdr>
    </w:pPr>
  </w:style>
  <w:style w:type="paragraph" w:customStyle="1" w:styleId="86">
    <w:name w:val="样式11"/>
    <w:basedOn w:val="85"/>
    <w:link w:val="132"/>
    <w:qFormat/>
    <w:uiPriority w:val="0"/>
    <w:pPr>
      <w:pBdr>
        <w:top w:val="none" w:color="auto" w:sz="0" w:space="0"/>
      </w:pBdr>
    </w:pPr>
  </w:style>
  <w:style w:type="paragraph" w:customStyle="1" w:styleId="87">
    <w:name w:val="样式12"/>
    <w:basedOn w:val="86"/>
    <w:link w:val="133"/>
    <w:qFormat/>
    <w:uiPriority w:val="0"/>
  </w:style>
  <w:style w:type="paragraph" w:customStyle="1" w:styleId="88">
    <w:name w:val="样式13"/>
    <w:basedOn w:val="82"/>
    <w:link w:val="134"/>
    <w:qFormat/>
    <w:uiPriority w:val="0"/>
  </w:style>
  <w:style w:type="paragraph" w:customStyle="1" w:styleId="89">
    <w:name w:val="2"/>
    <w:basedOn w:val="1"/>
    <w:link w:val="135"/>
    <w:qFormat/>
    <w:uiPriority w:val="0"/>
    <w:pPr>
      <w:autoSpaceDE w:val="0"/>
      <w:autoSpaceDN w:val="0"/>
      <w:adjustRightInd w:val="0"/>
      <w:ind w:firstLine="0" w:firstLineChars="0"/>
      <w:jc w:val="center"/>
    </w:pPr>
    <w:rPr>
      <w:spacing w:val="4"/>
    </w:rPr>
  </w:style>
  <w:style w:type="paragraph" w:customStyle="1" w:styleId="90">
    <w:name w:val="1"/>
    <w:basedOn w:val="1"/>
    <w:link w:val="136"/>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character" w:customStyle="1" w:styleId="93">
    <w:name w:val="标题 5 Char"/>
    <w:link w:val="7"/>
    <w:qFormat/>
    <w:uiPriority w:val="0"/>
    <w:rPr>
      <w:b/>
      <w:bCs/>
      <w:kern w:val="2"/>
      <w:sz w:val="28"/>
      <w:szCs w:val="28"/>
    </w:rPr>
  </w:style>
  <w:style w:type="character" w:customStyle="1" w:styleId="94">
    <w:name w:val="页眉 Char"/>
    <w:link w:val="28"/>
    <w:qFormat/>
    <w:uiPriority w:val="99"/>
    <w:rPr>
      <w:kern w:val="2"/>
      <w:sz w:val="18"/>
      <w:szCs w:val="18"/>
    </w:rPr>
  </w:style>
  <w:style w:type="character" w:customStyle="1" w:styleId="95">
    <w:name w:val="标题 6 Char"/>
    <w:link w:val="8"/>
    <w:qFormat/>
    <w:uiPriority w:val="0"/>
    <w:rPr>
      <w:b/>
      <w:bCs/>
      <w:kern w:val="2"/>
      <w:sz w:val="30"/>
      <w:szCs w:val="18"/>
    </w:rPr>
  </w:style>
  <w:style w:type="character" w:customStyle="1" w:styleId="96">
    <w:name w:val="标题 Char"/>
    <w:link w:val="39"/>
    <w:qFormat/>
    <w:uiPriority w:val="0"/>
    <w:rPr>
      <w:rFonts w:ascii="Arial" w:hAnsi="Arial" w:cs="Arial"/>
      <w:b/>
      <w:bCs/>
      <w:kern w:val="2"/>
      <w:sz w:val="32"/>
      <w:szCs w:val="32"/>
    </w:rPr>
  </w:style>
  <w:style w:type="character" w:customStyle="1" w:styleId="97">
    <w:name w:val="标题 7 Char"/>
    <w:link w:val="9"/>
    <w:qFormat/>
    <w:uiPriority w:val="0"/>
    <w:rPr>
      <w:b/>
      <w:bCs/>
      <w:kern w:val="2"/>
      <w:sz w:val="30"/>
      <w:szCs w:val="18"/>
    </w:rPr>
  </w:style>
  <w:style w:type="character" w:customStyle="1" w:styleId="98">
    <w:name w:val="标题 8 Char"/>
    <w:link w:val="10"/>
    <w:qFormat/>
    <w:uiPriority w:val="0"/>
    <w:rPr>
      <w:b/>
      <w:bCs/>
      <w:kern w:val="2"/>
      <w:sz w:val="30"/>
      <w:szCs w:val="18"/>
    </w:rPr>
  </w:style>
  <w:style w:type="character" w:customStyle="1" w:styleId="99">
    <w:name w:val="正文文本缩进 2 Char"/>
    <w:link w:val="25"/>
    <w:qFormat/>
    <w:uiPriority w:val="0"/>
    <w:rPr>
      <w:kern w:val="2"/>
      <w:sz w:val="21"/>
      <w:szCs w:val="24"/>
    </w:rPr>
  </w:style>
  <w:style w:type="character" w:customStyle="1" w:styleId="100">
    <w:name w:val="标题 9 Char"/>
    <w:link w:val="11"/>
    <w:qFormat/>
    <w:uiPriority w:val="0"/>
    <w:rPr>
      <w:b/>
      <w:bCs/>
      <w:kern w:val="2"/>
      <w:sz w:val="30"/>
      <w:szCs w:val="18"/>
    </w:rPr>
  </w:style>
  <w:style w:type="character" w:customStyle="1" w:styleId="101">
    <w:name w:val="large1"/>
    <w:qFormat/>
    <w:uiPriority w:val="0"/>
    <w:rPr>
      <w:rFonts w:hint="eastAsia" w:ascii="宋体" w:hAnsi="宋体" w:eastAsia="宋体"/>
      <w:sz w:val="22"/>
      <w:szCs w:val="22"/>
    </w:rPr>
  </w:style>
  <w:style w:type="character" w:customStyle="1" w:styleId="102">
    <w:name w:val="正文文本缩进 Char"/>
    <w:link w:val="19"/>
    <w:qFormat/>
    <w:uiPriority w:val="0"/>
    <w:rPr>
      <w:kern w:val="2"/>
      <w:sz w:val="21"/>
      <w:szCs w:val="24"/>
    </w:rPr>
  </w:style>
  <w:style w:type="character" w:customStyle="1" w:styleId="103">
    <w:name w:val="纯文本 Char"/>
    <w:link w:val="22"/>
    <w:qFormat/>
    <w:uiPriority w:val="0"/>
    <w:rPr>
      <w:rFonts w:ascii="宋体" w:hAnsi="Courier New"/>
      <w:kern w:val="2"/>
      <w:sz w:val="21"/>
    </w:rPr>
  </w:style>
  <w:style w:type="character" w:customStyle="1" w:styleId="104">
    <w:name w:val="标题 2 Char"/>
    <w:link w:val="4"/>
    <w:qFormat/>
    <w:uiPriority w:val="0"/>
    <w:rPr>
      <w:b/>
      <w:bCs/>
      <w:kern w:val="2"/>
      <w:sz w:val="30"/>
      <w:szCs w:val="32"/>
    </w:rPr>
  </w:style>
  <w:style w:type="character" w:customStyle="1" w:styleId="105">
    <w:name w:val="标题 3 Char"/>
    <w:link w:val="5"/>
    <w:qFormat/>
    <w:uiPriority w:val="0"/>
    <w:rPr>
      <w:b/>
      <w:bCs/>
      <w:kern w:val="2"/>
      <w:sz w:val="28"/>
      <w:szCs w:val="18"/>
    </w:rPr>
  </w:style>
  <w:style w:type="character" w:customStyle="1" w:styleId="106">
    <w:name w:val="页脚 Char"/>
    <w:link w:val="27"/>
    <w:qFormat/>
    <w:uiPriority w:val="99"/>
    <w:rPr>
      <w:kern w:val="2"/>
      <w:sz w:val="18"/>
      <w:szCs w:val="18"/>
    </w:rPr>
  </w:style>
  <w:style w:type="character" w:customStyle="1" w:styleId="107">
    <w:name w:val="批注框文本 Char"/>
    <w:link w:val="26"/>
    <w:qFormat/>
    <w:uiPriority w:val="0"/>
    <w:rPr>
      <w:kern w:val="2"/>
      <w:sz w:val="18"/>
      <w:szCs w:val="18"/>
    </w:rPr>
  </w:style>
  <w:style w:type="character" w:customStyle="1" w:styleId="108">
    <w:name w:val="批注文字 Char"/>
    <w:link w:val="16"/>
    <w:qFormat/>
    <w:uiPriority w:val="0"/>
    <w:rPr>
      <w:kern w:val="2"/>
      <w:sz w:val="21"/>
      <w:szCs w:val="24"/>
    </w:rPr>
  </w:style>
  <w:style w:type="character" w:customStyle="1" w:styleId="109">
    <w:name w:val="14_black1"/>
    <w:qFormat/>
    <w:uiPriority w:val="0"/>
    <w:rPr>
      <w:color w:val="000000"/>
      <w:sz w:val="23"/>
      <w:szCs w:val="23"/>
    </w:rPr>
  </w:style>
  <w:style w:type="character" w:customStyle="1" w:styleId="110">
    <w:name w:val="标题 1 Char"/>
    <w:link w:val="3"/>
    <w:qFormat/>
    <w:uiPriority w:val="0"/>
    <w:rPr>
      <w:b/>
      <w:bCs/>
      <w:kern w:val="44"/>
      <w:sz w:val="32"/>
      <w:szCs w:val="28"/>
    </w:rPr>
  </w:style>
  <w:style w:type="character" w:customStyle="1" w:styleId="111">
    <w:name w:val="正文首行缩进 Char"/>
    <w:link w:val="40"/>
    <w:qFormat/>
    <w:uiPriority w:val="0"/>
    <w:rPr>
      <w:kern w:val="2"/>
      <w:sz w:val="21"/>
      <w:szCs w:val="24"/>
    </w:rPr>
  </w:style>
  <w:style w:type="character" w:customStyle="1" w:styleId="112">
    <w:name w:val="正文文本 Char"/>
    <w:link w:val="18"/>
    <w:qFormat/>
    <w:uiPriority w:val="0"/>
    <w:rPr>
      <w:kern w:val="2"/>
      <w:sz w:val="21"/>
      <w:szCs w:val="24"/>
    </w:rPr>
  </w:style>
  <w:style w:type="character" w:customStyle="1" w:styleId="113">
    <w:name w:val="f141"/>
    <w:qFormat/>
    <w:uiPriority w:val="0"/>
    <w:rPr>
      <w:sz w:val="21"/>
      <w:szCs w:val="21"/>
    </w:rPr>
  </w:style>
  <w:style w:type="character" w:customStyle="1" w:styleId="114">
    <w:name w:val="标题 4 Char"/>
    <w:link w:val="6"/>
    <w:qFormat/>
    <w:uiPriority w:val="0"/>
    <w:rPr>
      <w:rFonts w:hAnsi="Arial"/>
      <w:b/>
      <w:bCs/>
      <w:kern w:val="2"/>
      <w:sz w:val="24"/>
      <w:szCs w:val="28"/>
    </w:rPr>
  </w:style>
  <w:style w:type="character" w:customStyle="1" w:styleId="115">
    <w:name w:val="正文文本缩进 3 Char"/>
    <w:link w:val="34"/>
    <w:qFormat/>
    <w:uiPriority w:val="0"/>
    <w:rPr>
      <w:kern w:val="2"/>
      <w:sz w:val="16"/>
      <w:szCs w:val="16"/>
    </w:rPr>
  </w:style>
  <w:style w:type="character" w:customStyle="1" w:styleId="116">
    <w:name w:val="文档结构图 Char"/>
    <w:link w:val="15"/>
    <w:qFormat/>
    <w:uiPriority w:val="0"/>
    <w:rPr>
      <w:rFonts w:ascii="宋体"/>
      <w:kern w:val="2"/>
      <w:sz w:val="18"/>
      <w:szCs w:val="18"/>
    </w:rPr>
  </w:style>
  <w:style w:type="character" w:customStyle="1" w:styleId="117">
    <w:name w:val="FA正文 Char"/>
    <w:link w:val="74"/>
    <w:qFormat/>
    <w:uiPriority w:val="0"/>
    <w:rPr>
      <w:rFonts w:ascii="宋体" w:hAnsi="宋体"/>
      <w:spacing w:val="10"/>
      <w:kern w:val="2"/>
      <w:sz w:val="24"/>
      <w:szCs w:val="24"/>
    </w:rPr>
  </w:style>
  <w:style w:type="character" w:customStyle="1" w:styleId="118">
    <w:name w:val="正文文本 3 Char"/>
    <w:link w:val="17"/>
    <w:qFormat/>
    <w:uiPriority w:val="0"/>
    <w:rPr>
      <w:kern w:val="2"/>
      <w:sz w:val="16"/>
      <w:szCs w:val="16"/>
    </w:rPr>
  </w:style>
  <w:style w:type="character" w:customStyle="1" w:styleId="119">
    <w:name w:val="正文文本 2 Char"/>
    <w:link w:val="37"/>
    <w:qFormat/>
    <w:uiPriority w:val="0"/>
    <w:rPr>
      <w:kern w:val="2"/>
      <w:sz w:val="21"/>
      <w:szCs w:val="24"/>
    </w:rPr>
  </w:style>
  <w:style w:type="character" w:customStyle="1" w:styleId="120">
    <w:name w:val="Indent Normal Char"/>
    <w:qFormat/>
    <w:uiPriority w:val="0"/>
    <w:rPr>
      <w:rFonts w:eastAsia="宋体"/>
      <w:kern w:val="2"/>
      <w:sz w:val="21"/>
      <w:szCs w:val="24"/>
      <w:lang w:val="en-US" w:eastAsia="zh-CN" w:bidi="ar-SA"/>
    </w:rPr>
  </w:style>
  <w:style w:type="character" w:customStyle="1" w:styleId="121">
    <w:name w:val="日期 Char"/>
    <w:link w:val="24"/>
    <w:qFormat/>
    <w:uiPriority w:val="0"/>
    <w:rPr>
      <w:kern w:val="2"/>
      <w:sz w:val="21"/>
      <w:szCs w:val="24"/>
    </w:rPr>
  </w:style>
  <w:style w:type="character" w:customStyle="1" w:styleId="122">
    <w:name w:val="p11b1"/>
    <w:qFormat/>
    <w:uiPriority w:val="0"/>
    <w:rPr>
      <w:color w:val="000000"/>
      <w:spacing w:val="320"/>
      <w:sz w:val="20"/>
      <w:szCs w:val="20"/>
      <w:u w:val="none"/>
    </w:rPr>
  </w:style>
  <w:style w:type="character" w:customStyle="1" w:styleId="123">
    <w:name w:val="样式2 Char"/>
    <w:link w:val="77"/>
    <w:qFormat/>
    <w:uiPriority w:val="0"/>
    <w:rPr>
      <w:b/>
      <w:kern w:val="2"/>
      <w:sz w:val="30"/>
      <w:szCs w:val="24"/>
    </w:rPr>
  </w:style>
  <w:style w:type="character" w:customStyle="1" w:styleId="124">
    <w:name w:val="样式3 Char"/>
    <w:link w:val="78"/>
    <w:qFormat/>
    <w:uiPriority w:val="0"/>
    <w:rPr>
      <w:kern w:val="2"/>
      <w:sz w:val="18"/>
      <w:szCs w:val="18"/>
    </w:rPr>
  </w:style>
  <w:style w:type="character" w:customStyle="1" w:styleId="125">
    <w:name w:val="样式4 Char1"/>
    <w:link w:val="79"/>
    <w:qFormat/>
    <w:uiPriority w:val="0"/>
    <w:rPr>
      <w:kern w:val="2"/>
      <w:sz w:val="18"/>
      <w:szCs w:val="18"/>
    </w:rPr>
  </w:style>
  <w:style w:type="character" w:customStyle="1" w:styleId="126">
    <w:name w:val="样式5 Char"/>
    <w:link w:val="80"/>
    <w:qFormat/>
    <w:uiPriority w:val="0"/>
    <w:rPr>
      <w:kern w:val="2"/>
      <w:sz w:val="18"/>
      <w:szCs w:val="18"/>
    </w:rPr>
  </w:style>
  <w:style w:type="character" w:customStyle="1" w:styleId="127">
    <w:name w:val="样式6 Char"/>
    <w:link w:val="81"/>
    <w:qFormat/>
    <w:uiPriority w:val="0"/>
    <w:rPr>
      <w:kern w:val="2"/>
      <w:sz w:val="18"/>
      <w:szCs w:val="18"/>
    </w:rPr>
  </w:style>
  <w:style w:type="character" w:customStyle="1" w:styleId="128">
    <w:name w:val="样式7 Char"/>
    <w:link w:val="82"/>
    <w:qFormat/>
    <w:uiPriority w:val="0"/>
    <w:rPr>
      <w:b/>
      <w:bCs/>
      <w:kern w:val="2"/>
      <w:sz w:val="28"/>
      <w:szCs w:val="18"/>
    </w:rPr>
  </w:style>
  <w:style w:type="character" w:customStyle="1" w:styleId="129">
    <w:name w:val="样式8 Char"/>
    <w:link w:val="83"/>
    <w:qFormat/>
    <w:uiPriority w:val="0"/>
    <w:rPr>
      <w:kern w:val="2"/>
      <w:sz w:val="18"/>
      <w:szCs w:val="18"/>
    </w:rPr>
  </w:style>
  <w:style w:type="character" w:customStyle="1" w:styleId="130">
    <w:name w:val="样式9 Char"/>
    <w:link w:val="84"/>
    <w:qFormat/>
    <w:uiPriority w:val="0"/>
    <w:rPr>
      <w:kern w:val="2"/>
      <w:sz w:val="18"/>
      <w:szCs w:val="18"/>
    </w:rPr>
  </w:style>
  <w:style w:type="character" w:customStyle="1" w:styleId="131">
    <w:name w:val="样式10 Char"/>
    <w:link w:val="85"/>
    <w:qFormat/>
    <w:uiPriority w:val="0"/>
    <w:rPr>
      <w:kern w:val="2"/>
      <w:sz w:val="18"/>
      <w:szCs w:val="18"/>
    </w:rPr>
  </w:style>
  <w:style w:type="character" w:customStyle="1" w:styleId="132">
    <w:name w:val="样式11 Char"/>
    <w:link w:val="86"/>
    <w:qFormat/>
    <w:uiPriority w:val="0"/>
    <w:rPr>
      <w:kern w:val="2"/>
      <w:sz w:val="18"/>
      <w:szCs w:val="18"/>
    </w:rPr>
  </w:style>
  <w:style w:type="character" w:customStyle="1" w:styleId="133">
    <w:name w:val="样式12 Char"/>
    <w:link w:val="87"/>
    <w:qFormat/>
    <w:uiPriority w:val="0"/>
    <w:rPr>
      <w:kern w:val="2"/>
      <w:sz w:val="18"/>
      <w:szCs w:val="18"/>
    </w:rPr>
  </w:style>
  <w:style w:type="character" w:customStyle="1" w:styleId="134">
    <w:name w:val="样式13 Char"/>
    <w:link w:val="88"/>
    <w:qFormat/>
    <w:uiPriority w:val="0"/>
    <w:rPr>
      <w:b/>
      <w:bCs/>
      <w:kern w:val="2"/>
      <w:sz w:val="28"/>
      <w:szCs w:val="18"/>
    </w:rPr>
  </w:style>
  <w:style w:type="character" w:customStyle="1" w:styleId="135">
    <w:name w:val="2 Char"/>
    <w:link w:val="89"/>
    <w:qFormat/>
    <w:uiPriority w:val="0"/>
    <w:rPr>
      <w:spacing w:val="4"/>
      <w:kern w:val="2"/>
      <w:sz w:val="21"/>
      <w:szCs w:val="24"/>
    </w:rPr>
  </w:style>
  <w:style w:type="character" w:customStyle="1" w:styleId="136">
    <w:name w:val="1 Char"/>
    <w:link w:val="90"/>
    <w:qFormat/>
    <w:uiPriority w:val="0"/>
    <w:rPr>
      <w:kern w:val="2"/>
      <w:sz w:val="21"/>
      <w:szCs w:val="24"/>
    </w:rPr>
  </w:style>
  <w:style w:type="paragraph" w:customStyle="1" w:styleId="137">
    <w:name w:val="列出段落2"/>
    <w:basedOn w:val="1"/>
    <w:qFormat/>
    <w:uiPriority w:val="34"/>
  </w:style>
  <w:style w:type="character" w:customStyle="1" w:styleId="138">
    <w:name w:val="样式1 Char"/>
    <w:link w:val="68"/>
    <w:qFormat/>
    <w:uiPriority w:val="0"/>
    <w:rPr>
      <w:kern w:val="2"/>
      <w:sz w:val="24"/>
      <w:szCs w:val="24"/>
    </w:rPr>
  </w:style>
  <w:style w:type="paragraph" w:customStyle="1" w:styleId="139">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140">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2853E9-29B3-4538-B102-411FCE36225D}">
  <ds:schemaRefs/>
</ds:datastoreItem>
</file>

<file path=docProps/app.xml><?xml version="1.0" encoding="utf-8"?>
<Properties xmlns="http://schemas.openxmlformats.org/officeDocument/2006/extended-properties" xmlns:vt="http://schemas.openxmlformats.org/officeDocument/2006/docPropsVTypes">
  <Template>Normal</Template>
  <Company>江苏国泰新点软件有限公司  0512-58188000</Company>
  <Pages>10</Pages>
  <Words>212</Words>
  <Characters>1215</Characters>
  <Lines>10</Lines>
  <Paragraphs>2</Paragraphs>
  <TotalTime>98</TotalTime>
  <ScaleCrop>false</ScaleCrop>
  <LinksUpToDate>false</LinksUpToDate>
  <CharactersWithSpaces>1425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2020-12-30T05:38:00Z</dcterms:created>
  <dc:creator>yuanxun</dc:creator>
  <cp:lastModifiedBy>_          S.</cp:lastModifiedBy>
  <dcterms:modified xsi:type="dcterms:W3CDTF">2021-04-12T08:56:46Z</dcterms:modified>
  <dc:title>_x0001_</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